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攀钢确保石灰石矿全面退出国家级苏铁保护区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周军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胡毅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2018年11月15日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攀钢日报社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该</w:t>
            </w:r>
            <w:r>
              <w:rPr>
                <w:rFonts w:hint="eastAsia" w:ascii="仿宋_GB2312" w:eastAsia="仿宋_GB2312"/>
                <w:sz w:val="28"/>
              </w:rPr>
              <w:t>文题材重大，紧扣“绿水青山就是金山银山”时代主题，传递了在生态优先的新形势下，攀钢不讲困难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不讲条件，坚决让50多年的“老矿山”全面退出自然保护区的决心，彰显了中央企业的责任与担当。文章内容新、传播快、篇幅短、内容实。行文流畅、逻辑性强，文风朴实，可读性强。报道刊发后引起强烈反响，行业、省、市多家媒体和网站转载，营造了打赢脱贫攻坚战的良好舆论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攀枝花市东区向阳村原农贸楼四楼</w:t>
            </w:r>
          </w:p>
        </w:tc>
      </w:tr>
    </w:tbl>
    <w:p>
      <w:pPr>
        <w:ind w:firstLine="3520" w:firstLineChars="1100"/>
        <w:jc w:val="both"/>
        <w:rPr>
          <w:sz w:val="32"/>
          <w:szCs w:val="32"/>
        </w:rPr>
      </w:pPr>
    </w:p>
    <w:p>
      <w:pPr>
        <w:ind w:firstLine="3520" w:firstLineChars="11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附作品：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color w:val="444444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彰显央企担当 交出满意答卷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44444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4444"/>
          <w:sz w:val="36"/>
          <w:szCs w:val="36"/>
        </w:rPr>
        <w:t>攀钢确保石灰石矿全面退出国家级苏铁保护区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本报讯 （记者 周军 胡毅）14日，位于攀枝花市西区河门口攀钢石灰石矿的石灰石采场一片寂静，就在前不久，这里已经停止采场穿孔作业和爆破作业，往日热闹的生产场面彻底消失。到2019年底，攀钢将全面完成退出整改工作，这片开采了50年左右的“老矿山”将全部覆绿，为子孙后代留下一片绿水青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在生态优先的新形势下，探矿和采矿行为必须全面退出自然保护区，是企业必须完成的一项政治任务。攀钢石灰石矿自1970年组建成立以来，历经40余年的发展，已形成了完善的冶金熔剂生产系统。按生产规模120万吨/年计算，石灰石矿尚可开采30年左右。成立于1983年的苏铁保护区，在1996年晋升为国家级自然保护区。随着自然保护区的建设不断加强，石灰石采场及排土场被划入了苏铁保护区红线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在资源开发与生态环境保护之间，攀钢旗帜鲜明地履行中央企业的政治担当，不讲困难，不讲条件，向党中央提交满意答卷。前期，攀钢成立公司主要领导挂帅的领导小组，多次组织相关单位及部门召开专题会议，研究部署石灰石采场退出苏铁保护区相关事宜。近期，攀钢在前期退出和接替方案的基础上，演练各种保产方案，坚决按照中央、省、市决策部署，确保石灰石矿在2018年底退出苏铁保护区，并在2019年底前全面实施生态恢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“在保证石灰石矿按期退出苏铁保护区的同时，还要将对生产的影响降到最低。”石灰石矿矿长许华奎介绍，石灰石矿生产的熔剂石灰岩，是攀钢高炉冶金生产必不可少的辅助原料，每年一半以上用料都由石灰石矿供给。停止生产以后，距离攀钢100公里采购半径内的熔剂用石灰石生产能力，暂不能满足攀钢需求，而替代矿山建设需要6年建设周期，短时间内无法满足原料供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z w:val="32"/>
          <w:szCs w:val="32"/>
        </w:rPr>
        <w:t>困难面前，攀钢一方面按照既定规划，加快开发建设接替矿山步伐；另一方面将举全公司之力，克服高炉冶金生产所需熔剂原料短缺带来的影响。成立矿业公司党委、行政负责人为组长的石灰石采场退出苏铁保护区工作小组，按计划进度有序推进穿孔设备、开采设备撤离苏铁保护区，采场及排土场生态恢复、石灰石矿权注销等相关工作。根据现有资源情况，扩大采购半径，寻找稳定的石灰石矿石供应渠道。同时，深入市场调研，寻找新的石灰石资源，努力降低保供风险，确保攀钢生产平稳过渡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168E"/>
    <w:rsid w:val="2381168E"/>
    <w:rsid w:val="2F845458"/>
    <w:rsid w:val="405932E1"/>
    <w:rsid w:val="6A9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