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360" w:firstLineChars="100"/>
        <w:rPr>
          <w:rFonts w:ascii="仿宋_GB2312" w:hAnsi="仿宋_GB2312" w:eastAsia="仿宋_GB2312" w:cs="仿宋_GB2312"/>
          <w:sz w:val="36"/>
        </w:rPr>
      </w:pPr>
      <w:r>
        <w:rPr>
          <w:rFonts w:hint="eastAsia" w:ascii="仿宋_GB2312" w:hAnsi="仿宋_GB2312" w:eastAsia="仿宋_GB2312" w:cs="仿宋_GB2312"/>
          <w:sz w:val="36"/>
        </w:rPr>
        <w:t>中国企业报协会</w:t>
      </w:r>
      <w:r>
        <w:rPr>
          <w:rFonts w:ascii="仿宋_GB2312" w:hAnsi="仿宋_GB2312" w:eastAsia="仿宋_GB2312" w:cs="仿宋_GB2312"/>
          <w:sz w:val="36"/>
        </w:rPr>
        <w:t>2018</w:t>
      </w:r>
      <w:r>
        <w:rPr>
          <w:rFonts w:hint="eastAsia" w:ascii="仿宋_GB2312" w:hAnsi="仿宋_GB2312" w:eastAsia="仿宋_GB2312" w:cs="仿宋_GB2312"/>
          <w:sz w:val="36"/>
        </w:rPr>
        <w:t>年度新闻研讨作品推荐表</w:t>
      </w:r>
    </w:p>
    <w:tbl>
      <w:tblPr>
        <w:tblStyle w:val="3"/>
        <w:tblW w:w="94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251"/>
        <w:gridCol w:w="604"/>
        <w:gridCol w:w="1239"/>
        <w:gridCol w:w="878"/>
        <w:gridCol w:w="613"/>
        <w:gridCol w:w="1486"/>
        <w:gridCol w:w="1094"/>
        <w:gridCol w:w="2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5" w:hRule="atLeast"/>
          <w:jc w:val="center"/>
        </w:trPr>
        <w:tc>
          <w:tcPr>
            <w:tcW w:w="2054" w:type="dxa"/>
            <w:gridSpan w:val="3"/>
            <w:vAlign w:val="center"/>
          </w:tcPr>
          <w:p>
            <w:pPr>
              <w:spacing w:line="380" w:lineRule="exact"/>
              <w:jc w:val="center"/>
              <w:rPr>
                <w:rFonts w:ascii="仿宋_GB2312" w:hAnsi="华文中宋" w:eastAsia="仿宋_GB2312"/>
                <w:sz w:val="28"/>
              </w:rPr>
            </w:pPr>
            <w:r>
              <w:rPr>
                <w:rFonts w:hint="eastAsia" w:ascii="仿宋_GB2312" w:hAnsi="华文中宋" w:eastAsia="仿宋_GB2312"/>
                <w:sz w:val="28"/>
              </w:rPr>
              <w:t>作品标题</w:t>
            </w:r>
          </w:p>
        </w:tc>
        <w:tc>
          <w:tcPr>
            <w:tcW w:w="4216" w:type="dxa"/>
            <w:gridSpan w:val="4"/>
            <w:vAlign w:val="center"/>
          </w:tcPr>
          <w:p>
            <w:pPr>
              <w:spacing w:line="380" w:lineRule="exact"/>
              <w:rPr>
                <w:rFonts w:ascii="仿宋_GB2312" w:hAnsi="华文中宋" w:eastAsia="仿宋_GB2312"/>
                <w:sz w:val="28"/>
              </w:rPr>
            </w:pPr>
            <w:r>
              <w:rPr>
                <w:rFonts w:hint="eastAsia" w:ascii="仿宋_GB2312" w:hAnsi="华文中宋" w:eastAsia="仿宋_GB2312"/>
                <w:sz w:val="28"/>
              </w:rPr>
              <w:t>庆祝改革开放四十周年特别报道</w:t>
            </w:r>
          </w:p>
        </w:tc>
        <w:tc>
          <w:tcPr>
            <w:tcW w:w="1094" w:type="dxa"/>
            <w:vAlign w:val="center"/>
          </w:tcPr>
          <w:p>
            <w:pPr>
              <w:spacing w:line="380" w:lineRule="exact"/>
              <w:jc w:val="center"/>
              <w:rPr>
                <w:rFonts w:ascii="仿宋_GB2312" w:hAnsi="华文中宋" w:eastAsia="仿宋_GB2312"/>
                <w:sz w:val="28"/>
              </w:rPr>
            </w:pPr>
            <w:r>
              <w:rPr>
                <w:rFonts w:hint="eastAsia" w:ascii="仿宋_GB2312" w:hAnsi="华文中宋" w:eastAsia="仿宋_GB2312"/>
                <w:sz w:val="28"/>
              </w:rPr>
              <w:t>体裁</w:t>
            </w:r>
          </w:p>
        </w:tc>
        <w:tc>
          <w:tcPr>
            <w:tcW w:w="2053" w:type="dxa"/>
            <w:vAlign w:val="center"/>
          </w:tcPr>
          <w:p>
            <w:pPr>
              <w:rPr>
                <w:rFonts w:hint="default" w:ascii="仿宋_GB2312" w:eastAsia="仿宋_GB2312"/>
                <w:sz w:val="28"/>
                <w:lang w:val="en-US" w:eastAsia="zh-CN"/>
              </w:rPr>
            </w:pPr>
            <w:r>
              <w:rPr>
                <w:rFonts w:hint="eastAsia" w:ascii="仿宋_GB2312" w:eastAsia="仿宋_GB2312"/>
                <w:sz w:val="28"/>
                <w:lang w:val="en-US" w:eastAsia="zh-CN"/>
              </w:rPr>
              <w:t>通讯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39" w:hRule="atLeast"/>
          <w:jc w:val="center"/>
        </w:trPr>
        <w:tc>
          <w:tcPr>
            <w:tcW w:w="2054" w:type="dxa"/>
            <w:gridSpan w:val="3"/>
            <w:vAlign w:val="center"/>
          </w:tcPr>
          <w:p>
            <w:pPr>
              <w:spacing w:line="320" w:lineRule="exact"/>
              <w:jc w:val="center"/>
              <w:rPr>
                <w:rFonts w:ascii="仿宋_GB2312" w:hAnsi="华文中宋" w:eastAsia="仿宋_GB2312"/>
                <w:spacing w:val="-12"/>
                <w:sz w:val="28"/>
              </w:rPr>
            </w:pPr>
            <w:r>
              <w:rPr>
                <w:rFonts w:hint="eastAsia" w:ascii="仿宋_GB2312" w:hAnsi="华文中宋" w:eastAsia="仿宋_GB2312"/>
                <w:spacing w:val="-12"/>
                <w:sz w:val="28"/>
              </w:rPr>
              <w:t>作</w:t>
            </w:r>
            <w:r>
              <w:rPr>
                <w:rFonts w:ascii="仿宋_GB2312" w:hAnsi="华文中宋" w:eastAsia="仿宋_GB2312"/>
                <w:spacing w:val="-12"/>
                <w:sz w:val="28"/>
              </w:rPr>
              <w:t xml:space="preserve"> </w:t>
            </w:r>
            <w:r>
              <w:rPr>
                <w:rFonts w:hint="eastAsia" w:ascii="仿宋_GB2312" w:hAnsi="华文中宋" w:eastAsia="仿宋_GB2312"/>
                <w:spacing w:val="-12"/>
                <w:sz w:val="28"/>
              </w:rPr>
              <w:t>者</w:t>
            </w:r>
          </w:p>
        </w:tc>
        <w:tc>
          <w:tcPr>
            <w:tcW w:w="2117" w:type="dxa"/>
            <w:gridSpan w:val="2"/>
            <w:vAlign w:val="center"/>
          </w:tcPr>
          <w:p>
            <w:pPr>
              <w:jc w:val="center"/>
              <w:rPr>
                <w:rFonts w:hint="default" w:ascii="仿宋_GB2312" w:hAnsi="华文中宋" w:eastAsia="仿宋_GB2312"/>
                <w:sz w:val="28"/>
                <w:lang w:val="en-US" w:eastAsia="zh-CN"/>
              </w:rPr>
            </w:pPr>
            <w:r>
              <w:rPr>
                <w:rFonts w:hint="eastAsia" w:ascii="仿宋_GB2312" w:hAnsi="华文中宋" w:eastAsia="仿宋_GB2312"/>
                <w:sz w:val="28"/>
                <w:lang w:val="en-US" w:eastAsia="zh-CN"/>
              </w:rPr>
              <w:t>汪云富 胡毅</w:t>
            </w:r>
          </w:p>
        </w:tc>
        <w:tc>
          <w:tcPr>
            <w:tcW w:w="2099" w:type="dxa"/>
            <w:gridSpan w:val="2"/>
            <w:vAlign w:val="center"/>
          </w:tcPr>
          <w:p>
            <w:pPr>
              <w:jc w:val="center"/>
              <w:rPr>
                <w:rFonts w:ascii="仿宋_GB2312" w:hAnsi="华文中宋" w:eastAsia="仿宋_GB2312"/>
                <w:sz w:val="28"/>
              </w:rPr>
            </w:pPr>
            <w:r>
              <w:rPr>
                <w:rFonts w:hint="eastAsia" w:ascii="仿宋_GB2312" w:eastAsia="仿宋_GB2312"/>
                <w:bCs/>
                <w:sz w:val="28"/>
              </w:rPr>
              <w:t>刊发日期</w:t>
            </w:r>
          </w:p>
        </w:tc>
        <w:tc>
          <w:tcPr>
            <w:tcW w:w="3147" w:type="dxa"/>
            <w:gridSpan w:val="2"/>
            <w:vAlign w:val="center"/>
          </w:tcPr>
          <w:p>
            <w:pPr>
              <w:ind w:firstLine="560" w:firstLineChars="200"/>
              <w:rPr>
                <w:rFonts w:hint="default" w:ascii="仿宋_GB2312" w:eastAsia="仿宋_GB2312"/>
                <w:sz w:val="28"/>
                <w:lang w:val="en-US" w:eastAsia="zh-CN"/>
              </w:rPr>
            </w:pPr>
            <w:r>
              <w:rPr>
                <w:rFonts w:hint="eastAsia" w:ascii="仿宋_GB2312" w:eastAsia="仿宋_GB2312"/>
                <w:sz w:val="28"/>
                <w:lang w:val="en-US" w:eastAsia="zh-CN"/>
              </w:rPr>
              <w:t>12月</w:t>
            </w:r>
            <w:r>
              <w:rPr>
                <w:rFonts w:hint="eastAsia" w:asciiTheme="majorEastAsia" w:hAnsiTheme="majorEastAsia" w:eastAsiaTheme="majorEastAsia" w:cstheme="majorEastAsia"/>
                <w:sz w:val="24"/>
                <w:szCs w:val="24"/>
                <w:lang w:val="en-US" w:eastAsia="zh-CN"/>
              </w:rPr>
              <w:t>17日至20日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52" w:hRule="atLeast"/>
          <w:jc w:val="center"/>
        </w:trPr>
        <w:tc>
          <w:tcPr>
            <w:tcW w:w="2054" w:type="dxa"/>
            <w:gridSpan w:val="3"/>
            <w:vAlign w:val="center"/>
          </w:tcPr>
          <w:p>
            <w:pPr>
              <w:spacing w:line="380" w:lineRule="exact"/>
              <w:jc w:val="center"/>
              <w:rPr>
                <w:rFonts w:ascii="仿宋_GB2312" w:hAnsi="华文中宋" w:eastAsia="仿宋_GB2312"/>
                <w:sz w:val="28"/>
                <w:szCs w:val="28"/>
              </w:rPr>
            </w:pPr>
            <w:r>
              <w:rPr>
                <w:rFonts w:hint="eastAsia" w:ascii="仿宋_GB2312" w:hAnsi="华文中宋" w:eastAsia="仿宋_GB2312"/>
                <w:sz w:val="28"/>
                <w:szCs w:val="28"/>
              </w:rPr>
              <w:t>刊播版面名称</w:t>
            </w:r>
          </w:p>
        </w:tc>
        <w:tc>
          <w:tcPr>
            <w:tcW w:w="4216" w:type="dxa"/>
            <w:gridSpan w:val="4"/>
            <w:vAlign w:val="center"/>
          </w:tcPr>
          <w:p>
            <w:pPr>
              <w:jc w:val="center"/>
              <w:rPr>
                <w:rFonts w:hint="default" w:ascii="仿宋_GB2312" w:eastAsia="仿宋_GB2312"/>
                <w:color w:val="808080"/>
                <w:szCs w:val="21"/>
                <w:lang w:val="en-US" w:eastAsia="zh-CN"/>
              </w:rPr>
            </w:pPr>
            <w:r>
              <w:rPr>
                <w:rFonts w:hint="eastAsia" w:ascii="仿宋_GB2312" w:eastAsia="仿宋_GB2312"/>
                <w:color w:val="808080"/>
                <w:szCs w:val="21"/>
                <w:lang w:val="en-US" w:eastAsia="zh-CN"/>
              </w:rPr>
              <w:t>攀钢日报一版</w:t>
            </w:r>
          </w:p>
        </w:tc>
        <w:tc>
          <w:tcPr>
            <w:tcW w:w="1094" w:type="dxa"/>
            <w:vAlign w:val="center"/>
          </w:tcPr>
          <w:p>
            <w:pPr>
              <w:jc w:val="center"/>
              <w:rPr>
                <w:rFonts w:ascii="仿宋_GB2312" w:eastAsia="仿宋_GB2312"/>
                <w:color w:val="808080"/>
                <w:szCs w:val="21"/>
              </w:rPr>
            </w:pPr>
            <w:r>
              <w:rPr>
                <w:rFonts w:hint="eastAsia" w:ascii="仿宋_GB2312" w:eastAsia="仿宋_GB2312"/>
                <w:color w:val="808080"/>
                <w:sz w:val="28"/>
                <w:szCs w:val="28"/>
              </w:rPr>
              <w:t>字数</w:t>
            </w:r>
          </w:p>
        </w:tc>
        <w:tc>
          <w:tcPr>
            <w:tcW w:w="2053" w:type="dxa"/>
            <w:vAlign w:val="center"/>
          </w:tcPr>
          <w:p>
            <w:pPr>
              <w:jc w:val="center"/>
              <w:rPr>
                <w:rFonts w:hint="default" w:ascii="仿宋_GB2312" w:eastAsia="仿宋_GB2312"/>
                <w:color w:val="808080"/>
                <w:szCs w:val="21"/>
                <w:lang w:val="en-US" w:eastAsia="zh-CN"/>
              </w:rPr>
            </w:pPr>
            <w:r>
              <w:rPr>
                <w:rFonts w:hint="eastAsia" w:ascii="仿宋_GB2312" w:eastAsia="仿宋_GB2312"/>
                <w:color w:val="808080"/>
                <w:szCs w:val="21"/>
                <w:lang w:val="en-US" w:eastAsia="zh-CN"/>
              </w:rPr>
              <w:t>4篇共12754字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52" w:hRule="atLeast"/>
          <w:jc w:val="center"/>
        </w:trPr>
        <w:tc>
          <w:tcPr>
            <w:tcW w:w="2054" w:type="dxa"/>
            <w:gridSpan w:val="3"/>
            <w:vAlign w:val="center"/>
          </w:tcPr>
          <w:p>
            <w:pPr>
              <w:spacing w:line="380" w:lineRule="exact"/>
              <w:jc w:val="center"/>
              <w:rPr>
                <w:rFonts w:ascii="仿宋_GB2312" w:hAnsi="华文中宋" w:eastAsia="仿宋_GB2312"/>
                <w:sz w:val="24"/>
              </w:rPr>
            </w:pPr>
            <w:r>
              <w:rPr>
                <w:rFonts w:hint="eastAsia" w:ascii="仿宋_GB2312" w:hAnsi="华文中宋" w:eastAsia="仿宋_GB2312"/>
                <w:sz w:val="28"/>
                <w:szCs w:val="28"/>
              </w:rPr>
              <w:t>单</w:t>
            </w:r>
            <w:r>
              <w:rPr>
                <w:rFonts w:ascii="仿宋_GB2312" w:hAnsi="华文中宋" w:eastAsia="仿宋_GB2312"/>
                <w:sz w:val="28"/>
                <w:szCs w:val="28"/>
              </w:rPr>
              <w:t xml:space="preserve"> </w:t>
            </w:r>
            <w:r>
              <w:rPr>
                <w:rFonts w:hint="eastAsia" w:ascii="仿宋_GB2312" w:hAnsi="华文中宋" w:eastAsia="仿宋_GB2312"/>
                <w:sz w:val="28"/>
                <w:szCs w:val="28"/>
              </w:rPr>
              <w:t>位</w:t>
            </w:r>
          </w:p>
        </w:tc>
        <w:tc>
          <w:tcPr>
            <w:tcW w:w="7363" w:type="dxa"/>
            <w:gridSpan w:val="6"/>
            <w:vAlign w:val="center"/>
          </w:tcPr>
          <w:p>
            <w:pPr>
              <w:jc w:val="center"/>
              <w:rPr>
                <w:rFonts w:hint="default" w:ascii="仿宋_GB2312" w:eastAsia="仿宋_GB2312"/>
                <w:color w:val="808080"/>
                <w:szCs w:val="21"/>
                <w:lang w:val="en-US" w:eastAsia="zh-CN"/>
              </w:rPr>
            </w:pPr>
            <w:r>
              <w:rPr>
                <w:rFonts w:hint="eastAsia" w:ascii="仿宋_GB2312" w:eastAsia="仿宋_GB2312"/>
                <w:color w:val="808080"/>
                <w:szCs w:val="21"/>
                <w:lang w:val="en-US" w:eastAsia="zh-CN"/>
              </w:rPr>
              <w:t>攀钢日报社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528" w:hRule="exact"/>
          <w:jc w:val="center"/>
        </w:trPr>
        <w:tc>
          <w:tcPr>
            <w:tcW w:w="1199" w:type="dxa"/>
            <w:vAlign w:val="center"/>
          </w:tcPr>
          <w:p>
            <w:pPr>
              <w:spacing w:line="380" w:lineRule="exact"/>
              <w:jc w:val="center"/>
              <w:rPr>
                <w:rFonts w:ascii="仿宋_GB2312" w:hAnsi="华文中宋" w:eastAsia="仿宋_GB2312"/>
                <w:sz w:val="28"/>
              </w:rPr>
            </w:pPr>
          </w:p>
          <w:p>
            <w:pPr>
              <w:spacing w:line="380" w:lineRule="exact"/>
              <w:jc w:val="center"/>
              <w:rPr>
                <w:rFonts w:ascii="仿宋_GB2312" w:hAnsi="华文中宋" w:eastAsia="仿宋_GB2312"/>
                <w:sz w:val="28"/>
              </w:rPr>
            </w:pPr>
          </w:p>
          <w:p>
            <w:pPr>
              <w:spacing w:line="380" w:lineRule="exact"/>
              <w:jc w:val="center"/>
              <w:rPr>
                <w:rFonts w:ascii="仿宋_GB2312" w:hAnsi="华文中宋" w:eastAsia="仿宋_GB2312"/>
                <w:sz w:val="28"/>
              </w:rPr>
            </w:pPr>
          </w:p>
          <w:p>
            <w:pPr>
              <w:spacing w:line="380" w:lineRule="exact"/>
              <w:jc w:val="center"/>
              <w:rPr>
                <w:rFonts w:ascii="仿宋_GB2312" w:hAnsi="华文中宋" w:eastAsia="仿宋_GB2312"/>
                <w:sz w:val="28"/>
              </w:rPr>
            </w:pPr>
          </w:p>
          <w:p>
            <w:pPr>
              <w:spacing w:line="380" w:lineRule="exact"/>
              <w:jc w:val="center"/>
              <w:rPr>
                <w:rFonts w:ascii="仿宋_GB2312" w:hAnsi="华文中宋" w:eastAsia="仿宋_GB2312"/>
                <w:sz w:val="28"/>
              </w:rPr>
            </w:pPr>
            <w:r>
              <w:rPr>
                <w:rFonts w:hint="eastAsia" w:ascii="仿宋_GB2312" w:hAnsi="华文中宋" w:eastAsia="仿宋_GB2312"/>
                <w:sz w:val="28"/>
              </w:rPr>
              <w:t>推</w:t>
            </w:r>
          </w:p>
          <w:p>
            <w:pPr>
              <w:spacing w:line="380" w:lineRule="exact"/>
              <w:jc w:val="center"/>
              <w:rPr>
                <w:rFonts w:ascii="仿宋_GB2312" w:hAnsi="华文中宋" w:eastAsia="仿宋_GB2312"/>
                <w:sz w:val="28"/>
              </w:rPr>
            </w:pPr>
            <w:r>
              <w:rPr>
                <w:rFonts w:hint="eastAsia" w:ascii="仿宋_GB2312" w:hAnsi="华文中宋" w:eastAsia="仿宋_GB2312"/>
                <w:sz w:val="28"/>
              </w:rPr>
              <w:t>荐</w:t>
            </w:r>
          </w:p>
          <w:p>
            <w:pPr>
              <w:spacing w:line="380" w:lineRule="exact"/>
              <w:jc w:val="center"/>
              <w:rPr>
                <w:rFonts w:ascii="仿宋_GB2312" w:hAnsi="华文中宋" w:eastAsia="仿宋_GB2312"/>
                <w:sz w:val="28"/>
              </w:rPr>
            </w:pPr>
            <w:r>
              <w:rPr>
                <w:rFonts w:hint="eastAsia" w:ascii="仿宋_GB2312" w:hAnsi="华文中宋" w:eastAsia="仿宋_GB2312"/>
                <w:sz w:val="28"/>
              </w:rPr>
              <w:t>理</w:t>
            </w:r>
          </w:p>
          <w:p>
            <w:pPr>
              <w:spacing w:line="380" w:lineRule="exact"/>
              <w:jc w:val="center"/>
              <w:rPr>
                <w:rFonts w:ascii="仿宋_GB2312" w:hAnsi="华文中宋" w:eastAsia="仿宋_GB2312"/>
                <w:sz w:val="28"/>
              </w:rPr>
            </w:pPr>
            <w:r>
              <w:rPr>
                <w:rFonts w:hint="eastAsia" w:ascii="仿宋_GB2312" w:hAnsi="华文中宋" w:eastAsia="仿宋_GB2312"/>
                <w:sz w:val="28"/>
              </w:rPr>
              <w:t>由</w:t>
            </w:r>
          </w:p>
          <w:p>
            <w:pPr>
              <w:spacing w:line="320" w:lineRule="exact"/>
              <w:ind w:firstLine="560" w:firstLineChars="200"/>
              <w:jc w:val="center"/>
              <w:rPr>
                <w:rFonts w:ascii="仿宋_GB2312" w:eastAsia="仿宋_GB2312"/>
                <w:sz w:val="28"/>
                <w:szCs w:val="28"/>
              </w:rPr>
            </w:pPr>
          </w:p>
          <w:p>
            <w:pPr>
              <w:spacing w:line="320" w:lineRule="exact"/>
              <w:jc w:val="center"/>
              <w:rPr>
                <w:rFonts w:ascii="仿宋_GB2312" w:hAnsi="华文中宋" w:eastAsia="仿宋_GB2312"/>
                <w:sz w:val="28"/>
              </w:rPr>
            </w:pPr>
          </w:p>
          <w:p>
            <w:pPr>
              <w:tabs>
                <w:tab w:val="left" w:pos="2662"/>
              </w:tabs>
              <w:jc w:val="center"/>
              <w:rPr>
                <w:rFonts w:ascii="仿宋_GB2312" w:hAnsi="华文中宋" w:eastAsia="仿宋_GB2312"/>
                <w:sz w:val="28"/>
              </w:rPr>
            </w:pPr>
          </w:p>
          <w:p>
            <w:pPr>
              <w:jc w:val="center"/>
              <w:rPr>
                <w:rFonts w:ascii="仿宋_GB2312" w:eastAsia="仿宋_GB2312"/>
                <w:sz w:val="28"/>
              </w:rPr>
            </w:pPr>
          </w:p>
          <w:p>
            <w:pPr>
              <w:jc w:val="center"/>
              <w:rPr>
                <w:rFonts w:ascii="仿宋_GB2312" w:eastAsia="仿宋_GB2312"/>
                <w:sz w:val="28"/>
              </w:rPr>
            </w:pPr>
          </w:p>
          <w:p>
            <w:pPr>
              <w:jc w:val="center"/>
              <w:rPr>
                <w:rFonts w:ascii="仿宋_GB2312" w:eastAsia="仿宋_GB2312"/>
                <w:sz w:val="28"/>
              </w:rPr>
            </w:pPr>
          </w:p>
          <w:p>
            <w:pPr>
              <w:jc w:val="center"/>
              <w:rPr>
                <w:rFonts w:ascii="仿宋_GB2312" w:eastAsia="仿宋_GB2312"/>
                <w:sz w:val="28"/>
              </w:rPr>
            </w:pPr>
          </w:p>
          <w:p>
            <w:pPr>
              <w:jc w:val="center"/>
              <w:rPr>
                <w:rFonts w:ascii="仿宋_GB2312" w:eastAsia="仿宋_GB2312"/>
                <w:sz w:val="28"/>
              </w:rPr>
            </w:pPr>
          </w:p>
        </w:tc>
        <w:tc>
          <w:tcPr>
            <w:tcW w:w="8218" w:type="dxa"/>
            <w:gridSpan w:val="8"/>
            <w:vAlign w:val="center"/>
          </w:tcPr>
          <w:p>
            <w:pPr>
              <w:ind w:firstLine="560" w:firstLineChars="200"/>
              <w:jc w:val="left"/>
              <w:rPr>
                <w:rFonts w:ascii="仿宋_GB2312" w:eastAsia="仿宋_GB2312"/>
                <w:sz w:val="28"/>
              </w:rPr>
            </w:pPr>
            <w:r>
              <w:rPr>
                <w:rFonts w:hint="eastAsia" w:ascii="仿宋_GB2312" w:eastAsia="仿宋_GB2312"/>
                <w:sz w:val="28"/>
              </w:rPr>
              <w:t>改革开放40周年来，攀钢顺应改革开放潮流，承担起攀西国家战略资源创新开发试验区排头兵重任，不断提升攀西钒钛资源开发利用水平，从单一钢铁厂逐步发展成为跨区域、跨行业的大型钢铁钒钛企业集团，在中国钢铁工业发展史上留下了浓墨重彩的一笔。从12月17日至20日，</w:t>
            </w:r>
            <w:r>
              <w:rPr>
                <w:rFonts w:hint="eastAsia" w:ascii="仿宋_GB2312" w:eastAsia="仿宋_GB2312"/>
                <w:sz w:val="28"/>
                <w:lang w:val="en-US" w:eastAsia="zh-CN"/>
              </w:rPr>
              <w:t>攀钢日报连</w:t>
            </w:r>
            <w:r>
              <w:rPr>
                <w:rFonts w:hint="eastAsia" w:ascii="仿宋_GB2312" w:eastAsia="仿宋_GB2312"/>
                <w:sz w:val="28"/>
              </w:rPr>
              <w:t>续推出“庆祝改革开放40周年特别报道”——《攀钢:因国家战略而生》《攀钢:因科技创新而立》《攀钢:因改革开放而兴》《攀钢:因供给侧结构性改革而新》，展示改革开放40年来攀钢生产经营和改革发展所取得的巨大成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663" w:hRule="exact"/>
          <w:jc w:val="center"/>
        </w:trPr>
        <w:tc>
          <w:tcPr>
            <w:tcW w:w="9417" w:type="dxa"/>
            <w:gridSpan w:val="9"/>
          </w:tcPr>
          <w:p>
            <w:pPr>
              <w:tabs>
                <w:tab w:val="left" w:pos="6461"/>
              </w:tabs>
              <w:spacing w:line="420" w:lineRule="exact"/>
              <w:jc w:val="left"/>
              <w:rPr>
                <w:rFonts w:ascii="仿宋_GB2312" w:hAnsi="华文中宋" w:eastAsia="仿宋_GB2312"/>
                <w:spacing w:val="-2"/>
                <w:sz w:val="28"/>
              </w:rPr>
            </w:pPr>
            <w:r>
              <w:rPr>
                <w:rFonts w:ascii="仿宋_GB2312" w:hAnsi="华文中宋" w:eastAsia="仿宋_GB2312"/>
                <w:spacing w:val="-2"/>
                <w:sz w:val="28"/>
              </w:rPr>
              <w:tab/>
            </w:r>
          </w:p>
          <w:p>
            <w:pPr>
              <w:tabs>
                <w:tab w:val="left" w:pos="6431"/>
              </w:tabs>
              <w:spacing w:line="420" w:lineRule="exact"/>
              <w:jc w:val="left"/>
              <w:rPr>
                <w:rFonts w:ascii="仿宋_GB2312" w:hAnsi="华文中宋" w:eastAsia="仿宋_GB2312"/>
                <w:spacing w:val="-2"/>
                <w:sz w:val="28"/>
              </w:rPr>
            </w:pPr>
          </w:p>
          <w:p>
            <w:pPr>
              <w:tabs>
                <w:tab w:val="left" w:pos="6431"/>
              </w:tabs>
              <w:spacing w:line="420" w:lineRule="exact"/>
              <w:jc w:val="left"/>
              <w:rPr>
                <w:rFonts w:ascii="仿宋_GB2312" w:hAnsi="华文中宋" w:eastAsia="仿宋_GB2312"/>
                <w:spacing w:val="-2"/>
                <w:sz w:val="28"/>
              </w:rPr>
            </w:pPr>
          </w:p>
          <w:p>
            <w:pPr>
              <w:tabs>
                <w:tab w:val="left" w:pos="6431"/>
              </w:tabs>
              <w:spacing w:line="420" w:lineRule="exact"/>
              <w:jc w:val="left"/>
              <w:rPr>
                <w:rFonts w:ascii="仿宋_GB2312" w:hAnsi="华文中宋" w:eastAsia="仿宋_GB2312"/>
                <w:spacing w:val="-2"/>
                <w:sz w:val="28"/>
              </w:rPr>
            </w:pPr>
          </w:p>
          <w:p>
            <w:pPr>
              <w:tabs>
                <w:tab w:val="left" w:pos="6431"/>
              </w:tabs>
              <w:spacing w:line="420" w:lineRule="exact"/>
              <w:jc w:val="left"/>
              <w:rPr>
                <w:rFonts w:ascii="仿宋_GB2312" w:hAnsi="华文中宋" w:eastAsia="仿宋_GB2312"/>
                <w:sz w:val="28"/>
              </w:rPr>
            </w:pPr>
            <w:r>
              <w:rPr>
                <w:rFonts w:hint="eastAsia" w:ascii="仿宋_GB2312" w:hAnsi="华文中宋" w:eastAsia="仿宋_GB2312"/>
                <w:spacing w:val="-2"/>
                <w:sz w:val="28"/>
              </w:rPr>
              <w:t>总编签名：</w:t>
            </w:r>
            <w:r>
              <w:rPr>
                <w:rFonts w:ascii="仿宋_GB2312" w:hAnsi="华文中宋" w:eastAsia="仿宋_GB2312"/>
                <w:spacing w:val="-2"/>
                <w:sz w:val="28"/>
              </w:rPr>
              <w:tab/>
            </w:r>
            <w:r>
              <w:rPr>
                <w:rFonts w:hint="eastAsia" w:ascii="仿宋_GB2312" w:hAnsi="华文中宋" w:eastAsia="仿宋_GB2312"/>
                <w:sz w:val="28"/>
              </w:rPr>
              <w:t>（盖单位公章）</w:t>
            </w:r>
          </w:p>
          <w:p>
            <w:pPr>
              <w:tabs>
                <w:tab w:val="left" w:pos="6746"/>
              </w:tabs>
              <w:spacing w:line="420" w:lineRule="exact"/>
              <w:ind w:firstLine="6440" w:firstLineChars="2300"/>
              <w:jc w:val="left"/>
              <w:rPr>
                <w:rFonts w:ascii="仿宋_GB2312" w:eastAsia="仿宋_GB2312"/>
                <w:sz w:val="28"/>
              </w:rPr>
            </w:pPr>
            <w:r>
              <w:rPr>
                <w:rFonts w:ascii="仿宋_GB2312" w:hAnsi="华文中宋" w:eastAsia="仿宋_GB2312"/>
                <w:sz w:val="28"/>
              </w:rPr>
              <w:t>2019</w:t>
            </w:r>
            <w:r>
              <w:rPr>
                <w:rFonts w:hint="eastAsia" w:ascii="仿宋_GB2312" w:hAnsi="华文中宋" w:eastAsia="仿宋_GB2312"/>
                <w:sz w:val="28"/>
              </w:rPr>
              <w:t>年</w:t>
            </w:r>
            <w:r>
              <w:rPr>
                <w:rFonts w:hint="eastAsia" w:ascii="仿宋_GB2312" w:hAnsi="华文中宋" w:eastAsia="仿宋_GB2312"/>
                <w:sz w:val="28"/>
                <w:lang w:val="en-US" w:eastAsia="zh-CN"/>
              </w:rPr>
              <w:t>4</w:t>
            </w:r>
            <w:r>
              <w:rPr>
                <w:rFonts w:hint="eastAsia" w:ascii="仿宋_GB2312" w:hAnsi="华文中宋" w:eastAsia="仿宋_GB2312"/>
                <w:sz w:val="28"/>
              </w:rPr>
              <w:t>月</w:t>
            </w:r>
            <w:r>
              <w:rPr>
                <w:rFonts w:hint="eastAsia" w:ascii="仿宋_GB2312" w:hAnsi="华文中宋" w:eastAsia="仿宋_GB2312"/>
                <w:sz w:val="28"/>
                <w:lang w:val="en-US" w:eastAsia="zh-CN"/>
              </w:rPr>
              <w:t>23</w:t>
            </w:r>
            <w:r>
              <w:rPr>
                <w:rFonts w:hint="eastAsia" w:ascii="仿宋_GB2312" w:hAnsi="华文中宋" w:eastAsia="仿宋_GB2312"/>
                <w:sz w:val="28"/>
              </w:rPr>
              <w:t>日</w:t>
            </w:r>
          </w:p>
          <w:p>
            <w:pPr>
              <w:spacing w:line="320" w:lineRule="exact"/>
              <w:jc w:val="left"/>
              <w:rPr>
                <w:rFonts w:ascii="仿宋_GB2312" w:eastAsia="仿宋_GB2312"/>
                <w:color w:val="808080"/>
                <w:szCs w:val="21"/>
              </w:rPr>
            </w:pPr>
          </w:p>
          <w:p>
            <w:pPr>
              <w:spacing w:line="420" w:lineRule="exact"/>
              <w:ind w:firstLine="2240" w:firstLineChars="800"/>
              <w:rPr>
                <w:rFonts w:ascii="仿宋_GB2312" w:hAnsi="华文中宋" w:eastAsia="仿宋_GB2312"/>
                <w:sz w:val="28"/>
              </w:rPr>
            </w:pPr>
          </w:p>
          <w:p>
            <w:pPr>
              <w:spacing w:line="420" w:lineRule="exact"/>
              <w:ind w:firstLine="2100" w:firstLineChars="750"/>
              <w:jc w:val="left"/>
              <w:rPr>
                <w:rFonts w:ascii="仿宋_GB2312" w:eastAsia="仿宋_GB2312"/>
                <w:sz w:val="2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jc w:val="center"/>
        </w:trPr>
        <w:tc>
          <w:tcPr>
            <w:tcW w:w="1450" w:type="dxa"/>
            <w:gridSpan w:val="2"/>
            <w:tcBorders>
              <w:top w:val="single" w:color="auto" w:sz="4" w:space="0"/>
              <w:bottom w:val="single" w:color="auto" w:sz="4" w:space="0"/>
              <w:right w:val="single" w:color="auto" w:sz="4" w:space="0"/>
            </w:tcBorders>
          </w:tcPr>
          <w:p>
            <w:pPr>
              <w:spacing w:line="500" w:lineRule="exact"/>
              <w:jc w:val="center"/>
              <w:rPr>
                <w:rFonts w:ascii="仿宋_GB2312" w:hAnsi="华文中宋" w:eastAsia="仿宋_GB2312"/>
                <w:spacing w:val="-12"/>
                <w:sz w:val="28"/>
                <w:szCs w:val="28"/>
              </w:rPr>
            </w:pPr>
            <w:r>
              <w:rPr>
                <w:rFonts w:hint="eastAsia" w:ascii="仿宋_GB2312" w:hAnsi="华文中宋" w:eastAsia="仿宋_GB2312"/>
                <w:spacing w:val="-12"/>
                <w:sz w:val="28"/>
                <w:szCs w:val="28"/>
              </w:rPr>
              <w:t>联系人</w:t>
            </w:r>
          </w:p>
        </w:tc>
        <w:tc>
          <w:tcPr>
            <w:tcW w:w="1843" w:type="dxa"/>
            <w:gridSpan w:val="2"/>
            <w:tcBorders>
              <w:top w:val="single" w:color="auto" w:sz="4" w:space="0"/>
              <w:left w:val="single" w:color="auto" w:sz="4" w:space="0"/>
              <w:bottom w:val="single" w:color="auto" w:sz="4" w:space="0"/>
              <w:right w:val="single" w:color="auto" w:sz="4" w:space="0"/>
            </w:tcBorders>
          </w:tcPr>
          <w:p>
            <w:pPr>
              <w:spacing w:line="500" w:lineRule="exact"/>
              <w:rPr>
                <w:rFonts w:hint="eastAsia" w:ascii="仿宋_GB2312" w:hAnsi="华文中宋" w:eastAsia="仿宋_GB2312"/>
                <w:sz w:val="28"/>
                <w:lang w:val="en-US" w:eastAsia="zh-CN"/>
              </w:rPr>
            </w:pPr>
            <w:r>
              <w:rPr>
                <w:rFonts w:hint="eastAsia" w:ascii="仿宋_GB2312" w:hAnsi="华文中宋" w:eastAsia="仿宋_GB2312"/>
                <w:sz w:val="28"/>
                <w:lang w:val="en-US" w:eastAsia="zh-CN"/>
              </w:rPr>
              <w:t>王文锋</w:t>
            </w:r>
          </w:p>
        </w:tc>
        <w:tc>
          <w:tcPr>
            <w:tcW w:w="1491" w:type="dxa"/>
            <w:gridSpan w:val="2"/>
            <w:tcBorders>
              <w:top w:val="single" w:color="auto" w:sz="4" w:space="0"/>
              <w:left w:val="single" w:color="auto" w:sz="4" w:space="0"/>
              <w:bottom w:val="single" w:color="auto" w:sz="4" w:space="0"/>
              <w:right w:val="single" w:color="auto" w:sz="4" w:space="0"/>
            </w:tcBorders>
          </w:tcPr>
          <w:p>
            <w:pPr>
              <w:spacing w:line="500" w:lineRule="exact"/>
              <w:rPr>
                <w:rFonts w:ascii="仿宋_GB2312" w:hAnsi="华文中宋" w:eastAsia="仿宋_GB2312"/>
                <w:sz w:val="28"/>
              </w:rPr>
            </w:pPr>
            <w:r>
              <w:rPr>
                <w:rFonts w:hint="eastAsia" w:ascii="仿宋_GB2312" w:hAnsi="华文中宋" w:eastAsia="仿宋_GB2312"/>
                <w:sz w:val="28"/>
              </w:rPr>
              <w:t>手机号码</w:t>
            </w:r>
          </w:p>
        </w:tc>
        <w:tc>
          <w:tcPr>
            <w:tcW w:w="4633" w:type="dxa"/>
            <w:gridSpan w:val="3"/>
            <w:tcBorders>
              <w:top w:val="single" w:color="auto" w:sz="4" w:space="0"/>
              <w:left w:val="single" w:color="auto" w:sz="4" w:space="0"/>
              <w:bottom w:val="single" w:color="auto" w:sz="4" w:space="0"/>
            </w:tcBorders>
          </w:tcPr>
          <w:p>
            <w:pPr>
              <w:spacing w:line="500" w:lineRule="exact"/>
              <w:rPr>
                <w:rFonts w:hint="default" w:ascii="仿宋_GB2312" w:hAnsi="华文中宋" w:eastAsia="仿宋_GB2312"/>
                <w:sz w:val="28"/>
                <w:lang w:val="en-US" w:eastAsia="zh-CN"/>
              </w:rPr>
            </w:pPr>
            <w:r>
              <w:rPr>
                <w:rFonts w:hint="eastAsia" w:ascii="仿宋_GB2312" w:hAnsi="华文中宋" w:eastAsia="仿宋_GB2312"/>
                <w:sz w:val="28"/>
                <w:lang w:val="en-US" w:eastAsia="zh-CN"/>
              </w:rPr>
              <w:t>13982394143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502" w:hRule="atLeast"/>
          <w:jc w:val="center"/>
        </w:trPr>
        <w:tc>
          <w:tcPr>
            <w:tcW w:w="1450" w:type="dxa"/>
            <w:gridSpan w:val="2"/>
            <w:tcBorders>
              <w:top w:val="single" w:color="auto" w:sz="4" w:space="0"/>
              <w:bottom w:val="single" w:color="auto" w:sz="4" w:space="0"/>
              <w:right w:val="single" w:color="auto" w:sz="4" w:space="0"/>
            </w:tcBorders>
          </w:tcPr>
          <w:p>
            <w:pPr>
              <w:spacing w:line="500" w:lineRule="exact"/>
              <w:jc w:val="center"/>
              <w:rPr>
                <w:rFonts w:ascii="仿宋_GB2312" w:hAnsi="华文中宋" w:eastAsia="仿宋_GB2312"/>
                <w:sz w:val="28"/>
              </w:rPr>
            </w:pPr>
            <w:r>
              <w:rPr>
                <w:rFonts w:hint="eastAsia" w:ascii="仿宋_GB2312" w:hAnsi="华文中宋" w:eastAsia="仿宋_GB2312"/>
                <w:sz w:val="28"/>
              </w:rPr>
              <w:t>电子邮箱</w:t>
            </w:r>
          </w:p>
        </w:tc>
        <w:tc>
          <w:tcPr>
            <w:tcW w:w="7967" w:type="dxa"/>
            <w:gridSpan w:val="7"/>
            <w:tcBorders>
              <w:top w:val="single" w:color="auto" w:sz="4" w:space="0"/>
              <w:left w:val="single" w:color="auto" w:sz="4" w:space="0"/>
              <w:bottom w:val="single" w:color="auto" w:sz="4" w:space="0"/>
            </w:tcBorders>
          </w:tcPr>
          <w:p>
            <w:pPr>
              <w:spacing w:line="500" w:lineRule="exact"/>
              <w:rPr>
                <w:rFonts w:hint="default" w:ascii="仿宋_GB2312" w:hAnsi="华文中宋" w:eastAsia="仿宋_GB2312"/>
                <w:sz w:val="28"/>
                <w:lang w:val="en-US" w:eastAsia="zh-CN"/>
              </w:rPr>
            </w:pPr>
            <w:r>
              <w:rPr>
                <w:rFonts w:hint="eastAsia" w:ascii="仿宋_GB2312" w:hAnsi="华文中宋" w:eastAsia="仿宋_GB2312"/>
                <w:sz w:val="28"/>
                <w:lang w:val="en-US" w:eastAsia="zh-CN"/>
              </w:rPr>
              <w:t>pgrb99168@163.com</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502" w:hRule="atLeast"/>
          <w:jc w:val="center"/>
        </w:trPr>
        <w:tc>
          <w:tcPr>
            <w:tcW w:w="1450" w:type="dxa"/>
            <w:gridSpan w:val="2"/>
            <w:tcBorders>
              <w:top w:val="single" w:color="auto" w:sz="4" w:space="0"/>
              <w:bottom w:val="single" w:color="auto" w:sz="4" w:space="0"/>
              <w:right w:val="single" w:color="auto" w:sz="4" w:space="0"/>
            </w:tcBorders>
          </w:tcPr>
          <w:p>
            <w:pPr>
              <w:spacing w:line="500" w:lineRule="exact"/>
              <w:jc w:val="center"/>
              <w:rPr>
                <w:rFonts w:ascii="仿宋_GB2312" w:hAnsi="华文中宋" w:eastAsia="仿宋_GB2312"/>
                <w:sz w:val="28"/>
              </w:rPr>
            </w:pPr>
            <w:r>
              <w:rPr>
                <w:rFonts w:hint="eastAsia" w:ascii="仿宋_GB2312" w:hAnsi="华文中宋" w:eastAsia="仿宋_GB2312"/>
                <w:sz w:val="28"/>
              </w:rPr>
              <w:t>地</w:t>
            </w:r>
            <w:r>
              <w:rPr>
                <w:rFonts w:ascii="仿宋_GB2312" w:hAnsi="华文中宋" w:eastAsia="仿宋_GB2312"/>
                <w:sz w:val="28"/>
              </w:rPr>
              <w:t xml:space="preserve"> </w:t>
            </w:r>
            <w:r>
              <w:rPr>
                <w:rFonts w:hint="eastAsia" w:ascii="仿宋_GB2312" w:hAnsi="华文中宋" w:eastAsia="仿宋_GB2312"/>
                <w:sz w:val="28"/>
              </w:rPr>
              <w:t>址</w:t>
            </w:r>
          </w:p>
        </w:tc>
        <w:tc>
          <w:tcPr>
            <w:tcW w:w="7967" w:type="dxa"/>
            <w:gridSpan w:val="7"/>
            <w:tcBorders>
              <w:top w:val="single" w:color="auto" w:sz="4" w:space="0"/>
              <w:left w:val="single" w:color="auto" w:sz="4" w:space="0"/>
              <w:bottom w:val="single" w:color="auto" w:sz="4" w:space="0"/>
            </w:tcBorders>
          </w:tcPr>
          <w:p>
            <w:pPr>
              <w:spacing w:line="500" w:lineRule="exact"/>
              <w:rPr>
                <w:rFonts w:hint="default" w:ascii="仿宋_GB2312" w:hAnsi="华文中宋" w:eastAsia="仿宋_GB2312"/>
                <w:sz w:val="28"/>
                <w:lang w:val="en-US" w:eastAsia="zh-CN"/>
              </w:rPr>
            </w:pPr>
            <w:r>
              <w:rPr>
                <w:rFonts w:hint="eastAsia" w:ascii="仿宋_GB2312" w:hAnsi="华文中宋" w:eastAsia="仿宋_GB2312"/>
                <w:sz w:val="28"/>
                <w:lang w:val="en-US" w:eastAsia="zh-CN"/>
              </w:rPr>
              <w:t>攀枝花市东区向阳村原农贸楼四楼</w:t>
            </w:r>
          </w:p>
        </w:tc>
      </w:tr>
    </w:tbl>
    <w:p>
      <w:pPr>
        <w:rPr>
          <w:rFonts w:hint="eastAsia"/>
          <w:lang w:val="en-US" w:eastAsia="zh-CN"/>
        </w:rPr>
      </w:pPr>
      <w:r>
        <w:rPr>
          <w:rFonts w:hint="eastAsia"/>
          <w:lang w:val="en-US" w:eastAsia="zh-CN"/>
        </w:rPr>
        <w:t>附作品：</w:t>
      </w:r>
    </w:p>
    <w:p>
      <w:pPr>
        <w:rPr>
          <w:rFonts w:hint="eastAsia"/>
          <w:lang w:val="en-US" w:eastAsia="zh-CN"/>
        </w:rPr>
      </w:pPr>
    </w:p>
    <w:p>
      <w:pPr>
        <w:rPr>
          <w:rFonts w:hint="eastAsia"/>
          <w:lang w:val="en-US" w:eastAsia="zh-CN"/>
        </w:rPr>
      </w:pPr>
    </w:p>
    <w:p>
      <w:pPr>
        <w:rPr>
          <w:rFonts w:hint="default"/>
          <w:lang w:val="en-US" w:eastAsia="zh-CN"/>
        </w:rPr>
      </w:pPr>
      <w:r>
        <w:rPr>
          <w:rFonts w:hint="default"/>
          <w:lang w:val="en-US" w:eastAsia="zh-CN"/>
        </w:rPr>
        <w:object>
          <v:shape id="_x0000_i1025" o:spt="75" type="#_x0000_t75" style="height:65.4pt;width:72.6pt;" o:ole="t" filled="f" o:preferrelative="t" stroked="f" coordsize="21600,21600">
            <v:path/>
            <v:fill on="f" focussize="0,0"/>
            <v:stroke on="f"/>
            <v:imagedata r:id="rId5" o:title=""/>
            <o:lock v:ext="edit" aspectratio="t"/>
            <w10:wrap type="none"/>
            <w10:anchorlock/>
          </v:shape>
          <o:OLEObject Type="Embed" ProgID="Package" ShapeID="_x0000_i1025" DrawAspect="Icon" ObjectID="_1468075725" r:id="rId4">
            <o:LockedField>false</o:LockedField>
          </o:OLEObject>
        </w:object>
      </w:r>
      <w:r>
        <w:rPr>
          <w:rFonts w:hint="default"/>
          <w:lang w:val="en-US" w:eastAsia="zh-CN"/>
        </w:rPr>
        <w:object>
          <v:shape id="_x0000_i1026" o:spt="75" type="#_x0000_t75" style="height:65.4pt;width:72.6pt;" o:ole="t" filled="f" o:preferrelative="t" stroked="f" coordsize="21600,21600">
            <v:path/>
            <v:fill on="f" focussize="0,0"/>
            <v:stroke on="f"/>
            <v:imagedata r:id="rId7" o:title=""/>
            <o:lock v:ext="edit" aspectratio="t"/>
            <w10:wrap type="none"/>
            <w10:anchorlock/>
          </v:shape>
          <o:OLEObject Type="Embed" ProgID="Package" ShapeID="_x0000_i1026" DrawAspect="Icon" ObjectID="_1468075726" r:id="rId6">
            <o:LockedField>false</o:LockedField>
          </o:OLEObject>
        </w:object>
      </w:r>
      <w:r>
        <w:rPr>
          <w:rFonts w:hint="default"/>
          <w:lang w:val="en-US" w:eastAsia="zh-CN"/>
        </w:rPr>
        <w:object>
          <v:shape id="_x0000_i1027" o:spt="75" type="#_x0000_t75" style="height:65.4pt;width:72.6pt;" o:ole="t" filled="f" o:preferrelative="t" stroked="f" coordsize="21600,21600">
            <v:path/>
            <v:fill on="f" focussize="0,0"/>
            <v:stroke on="f"/>
            <v:imagedata r:id="rId9" o:title=""/>
            <o:lock v:ext="edit" aspectratio="t"/>
            <w10:wrap type="none"/>
            <w10:anchorlock/>
          </v:shape>
          <o:OLEObject Type="Embed" ProgID="Package" ShapeID="_x0000_i1027" DrawAspect="Icon" ObjectID="_1468075727" r:id="rId8">
            <o:LockedField>false</o:LockedField>
          </o:OLEObject>
        </w:object>
      </w:r>
      <w:r>
        <w:rPr>
          <w:rFonts w:hint="default"/>
          <w:lang w:val="en-US" w:eastAsia="zh-CN"/>
        </w:rPr>
        <w:object>
          <v:shape id="_x0000_i1028" o:spt="75" type="#_x0000_t75" style="height:65.4pt;width:72.6pt;" o:ole="t" filled="f" o:preferrelative="t" stroked="f" coordsize="21600,21600">
            <v:path/>
            <v:fill on="f" focussize="0,0"/>
            <v:stroke on="f"/>
            <v:imagedata r:id="rId11" o:title=""/>
            <o:lock v:ext="edit" aspectratio="t"/>
            <w10:wrap type="none"/>
            <w10:anchorlock/>
          </v:shape>
          <o:OLEObject Type="Embed" ProgID="Package" ShapeID="_x0000_i1028" DrawAspect="Icon" ObjectID="_1468075728" r:id="rId10">
            <o:LockedField>false</o:LockedField>
          </o:OLEObject>
        </w:object>
      </w:r>
      <w:r>
        <w:rPr>
          <w:rFonts w:hint="default"/>
          <w:lang w:val="en-US" w:eastAsia="zh-CN"/>
        </w:rPr>
        <w:object>
          <v:shape id="_x0000_i1029" o:spt="75" type="#_x0000_t75" style="height:65.4pt;width:72.6pt;" o:ole="t" filled="f" o:preferrelative="t" stroked="f" coordsize="21600,21600">
            <v:path/>
            <v:fill on="f" focussize="0,0"/>
            <v:stroke on="f"/>
            <v:imagedata r:id="rId13" o:title=""/>
            <o:lock v:ext="edit" aspectratio="t"/>
            <w10:wrap type="none"/>
            <w10:anchorlock/>
          </v:shape>
          <o:OLEObject Type="Embed" ProgID="Package" ShapeID="_x0000_i1029" DrawAspect="Icon" ObjectID="_1468075729" r:id="rId12">
            <o:LockedField>false</o:LockedField>
          </o:OLEObject>
        </w:object>
      </w:r>
      <w:r>
        <w:rPr>
          <w:rFonts w:hint="default"/>
          <w:lang w:val="en-US" w:eastAsia="zh-CN"/>
        </w:rPr>
        <w:object>
          <v:shape id="_x0000_i1030" o:spt="75" type="#_x0000_t75" style="height:65.4pt;width:72.6pt;" o:ole="t" filled="f" o:preferrelative="t" stroked="f" coordsize="21600,21600">
            <v:path/>
            <v:fill on="f" focussize="0,0"/>
            <v:stroke on="f"/>
            <v:imagedata r:id="rId15" o:title=""/>
            <o:lock v:ext="edit" aspectratio="t"/>
            <w10:wrap type="none"/>
            <w10:anchorlock/>
          </v:shape>
          <o:OLEObject Type="Embed" ProgID="Package" ShapeID="_x0000_i1030" DrawAspect="Icon" ObjectID="_1468075730" r:id="rId14">
            <o:LockedField>false</o:LockedField>
          </o:OLEObject>
        </w:object>
      </w:r>
      <w:r>
        <w:rPr>
          <w:rFonts w:hint="default"/>
          <w:lang w:val="en-US" w:eastAsia="zh-CN"/>
        </w:rPr>
        <w:object>
          <v:shape id="_x0000_i1031" o:spt="75" type="#_x0000_t75" style="height:65.4pt;width:72.6pt;" o:ole="t" filled="f" o:preferrelative="t" stroked="f" coordsize="21600,21600">
            <v:path/>
            <v:fill on="f" focussize="0,0"/>
            <v:stroke on="f"/>
            <v:imagedata r:id="rId17" o:title=""/>
            <o:lock v:ext="edit" aspectratio="t"/>
            <w10:wrap type="none"/>
            <w10:anchorlock/>
          </v:shape>
          <o:OLEObject Type="Embed" ProgID="Package" ShapeID="_x0000_i1031" DrawAspect="Icon" ObjectID="_1468075731" r:id="rId16">
            <o:LockedField>false</o:LockedField>
          </o:OLEObject>
        </w:object>
      </w:r>
      <w:r>
        <w:rPr>
          <w:rFonts w:hint="default"/>
          <w:lang w:val="en-US" w:eastAsia="zh-CN"/>
        </w:rPr>
        <w:object>
          <v:shape id="_x0000_i1032" o:spt="75" type="#_x0000_t75" style="height:65.4pt;width:72.6pt;" o:ole="t" filled="f" o:preferrelative="t" stroked="f" coordsize="21600,21600">
            <v:path/>
            <v:fill on="f" focussize="0,0"/>
            <v:stroke on="f"/>
            <v:imagedata r:id="rId19" o:title=""/>
            <o:lock v:ext="edit" aspectratio="t"/>
            <w10:wrap type="none"/>
            <w10:anchorlock/>
          </v:shape>
          <o:OLEObject Type="Embed" ProgID="Package" ShapeID="_x0000_i1032" DrawAspect="Icon" ObjectID="_1468075732" r:id="rId18">
            <o:LockedField>false</o:LockedField>
          </o:OLEObject>
        </w:object>
      </w:r>
    </w:p>
    <w:p>
      <w:pPr>
        <w:keepNext w:val="0"/>
        <w:keepLines w:val="0"/>
        <w:pageBreakBefore w:val="0"/>
        <w:kinsoku/>
        <w:wordWrap/>
        <w:overflowPunct/>
        <w:topLinePunct w:val="0"/>
        <w:autoSpaceDE/>
        <w:autoSpaceDN/>
        <w:bidi w:val="0"/>
        <w:adjustRightInd/>
        <w:snapToGrid/>
        <w:spacing w:line="360" w:lineRule="auto"/>
        <w:ind w:firstLine="643" w:firstLineChars="200"/>
        <w:textAlignment w:val="auto"/>
        <w:rPr>
          <w:rFonts w:hint="eastAsia" w:asciiTheme="majorEastAsia" w:hAnsiTheme="majorEastAsia" w:eastAsiaTheme="majorEastAsia" w:cstheme="majorEastAsia"/>
          <w:b/>
          <w:i w:val="0"/>
          <w:caps w:val="0"/>
          <w:color w:val="333333"/>
          <w:spacing w:val="0"/>
          <w:sz w:val="32"/>
          <w:szCs w:val="32"/>
          <w:u w:val="none"/>
        </w:rPr>
      </w:pPr>
      <w:r>
        <w:rPr>
          <w:rFonts w:hint="eastAsia" w:asciiTheme="majorEastAsia" w:hAnsiTheme="majorEastAsia" w:eastAsiaTheme="majorEastAsia" w:cstheme="majorEastAsia"/>
          <w:b/>
          <w:i w:val="0"/>
          <w:caps w:val="0"/>
          <w:color w:val="333333"/>
          <w:spacing w:val="0"/>
          <w:sz w:val="32"/>
          <w:szCs w:val="32"/>
          <w:u w:val="none"/>
        </w:rPr>
        <w:t>攀钢：因国家战略而生</w:t>
      </w:r>
      <w:r>
        <w:rPr>
          <w:rFonts w:hint="eastAsia" w:asciiTheme="majorEastAsia" w:hAnsiTheme="majorEastAsia" w:eastAsiaTheme="majorEastAsia" w:cstheme="majorEastAsia"/>
          <w:b/>
          <w:i w:val="0"/>
          <w:caps w:val="0"/>
          <w:color w:val="333333"/>
          <w:spacing w:val="0"/>
          <w:sz w:val="32"/>
          <w:szCs w:val="32"/>
          <w:u w:val="none"/>
        </w:rPr>
        <w:br w:type="textWrapping"/>
      </w:r>
      <w:r>
        <w:rPr>
          <w:rFonts w:hint="eastAsia" w:asciiTheme="majorEastAsia" w:hAnsiTheme="majorEastAsia" w:eastAsiaTheme="majorEastAsia" w:cstheme="majorEastAsia"/>
          <w:b/>
          <w:i w:val="0"/>
          <w:caps w:val="0"/>
          <w:color w:val="333333"/>
          <w:spacing w:val="0"/>
          <w:sz w:val="32"/>
          <w:szCs w:val="32"/>
          <w:u w:val="none"/>
        </w:rPr>
        <w:t>——庆祝改革开放40周年特别报道之一</w:t>
      </w:r>
      <w:r>
        <w:rPr>
          <w:rFonts w:hint="eastAsia" w:asciiTheme="majorEastAsia" w:hAnsiTheme="majorEastAsia" w:eastAsiaTheme="majorEastAsia" w:cstheme="majorEastAsia"/>
          <w:b/>
          <w:i w:val="0"/>
          <w:caps w:val="0"/>
          <w:color w:val="333333"/>
          <w:spacing w:val="0"/>
          <w:sz w:val="32"/>
          <w:szCs w:val="32"/>
          <w:u w:val="none"/>
        </w:rPr>
        <w:br w:type="textWrapping"/>
      </w:r>
      <w:r>
        <w:rPr>
          <w:rFonts w:hint="eastAsia" w:asciiTheme="majorEastAsia" w:hAnsiTheme="majorEastAsia" w:eastAsiaTheme="majorEastAsia" w:cstheme="majorEastAsia"/>
          <w:b/>
          <w:i w:val="0"/>
          <w:caps w:val="0"/>
          <w:color w:val="333333"/>
          <w:spacing w:val="0"/>
          <w:sz w:val="32"/>
          <w:szCs w:val="32"/>
          <w:u w:val="none"/>
        </w:rPr>
        <w:t>本报记者 汪云富</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经营性利润有望创历史新高。”“石灰石矿退出苏铁保护区，守护长江上游生态迈出坚实步伐。”“投入数千万元用于对口扶贫。”……在举国上下庆祝改革开放40周年之际，有“中国钢铁工业的骄傲”之誉的攀钢，频频传出令人振奋的信息。</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作为“毛泽东思想的产物，邓小平路线的成果”，沐浴着改革开放的东风，攀钢中流击楫，破浪前行，取得累累硕果。</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牢记“大局责任与胸怀担当”，国家战略资源综合开发利用核心企业的攀钢，不断书写着一个个传奇。</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b/>
          <w:bCs/>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不辱使命，成就“中国钢铁工业的骄傲”</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攀钢，因国家战略而生，因钒钛资源而建。</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提及那段峥嵘岁月，原攀钢董事长赵忠玉，这位自1968年就来到攀枝花的86岁老人，依然豪情满怀。</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上世纪六十年代，我国面临着十分严峻的国际形势，战争一触即发，国家经济基础面临严重威胁。党中央审时度势，做出建设“大三线”的重大战略决策。邓小平等众多老一辈革命家翻山越岭，亲临攀枝花视察。建不建攀枝花，不是钢铁厂问题，而是国家战略问题。</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攀西大裂谷蕴藏着储量世界第一的钛、世界第三的钒，以及众多稀有金属资源，改革开放的总设计师邓小平赞誉“这里得天独厚”。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然而，这里曾被诸葛亮称为“不毛之地”。在没有城市依托、不通铁路、气候恶劣、物资奇缺的艰难条件下建设一个钢铁厂，谈何容易！</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三块石头架口锅，帐篷搭在山窝窝；天作罗帐地是床，野菜盐巴下干粮’，就是那时的真实写照！”作为建设大军的一员，修过干打垒、住过席棚子的赵忠玉记忆深刻，为了“让毛主席睡好觉”，数十万建设者用5年时间，在荒无人烟的不毛之地，建起一座举世瞩目的钢铁企业。这是世界奇迹，体现了攀钢人的使命与担当！</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当改革开放的春风吹到攀西大地，攀钢一期生产如火如荼。抓住改革开放的历史机遇，攀钢人又以史无前例的担当，全国首创向国际银团贷款建设二期，中国西部璀璨工业明珠的发展步伐加快。</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作为既参与打破国外专家“呆矿”断言的“108将”之一，又是二期工程建设的指挥者之一，原攀钢副总经理马家源对此感慨万千。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在马家源看来，三线建设铸就了攀钢的英雄之魂，改革开放使攀钢创造了辉煌奇迹！</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秉承党和国家的关怀，依靠持续创新，从攻克炼矿难题，到自主研发出转炉提钒工艺技术，再到开创钒钛磁铁矿中钛资源回收利用先河，攀钢人把“不可能”变成了现实。伴随着二期、三期和新攀钢建设，攀钢已成为全球第一的产钒企业、我国最大的钛原料和产业链最为完整的钛加工企业，国内第一、世界顶级的钢轨生产基地，我国重要的汽车用钢、家电用钢、特殊军工钢生产基地，书写了中国钢铁工业的传奇。</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不忘鞍钢集团和社会各界的关爱，攀钢人用汗水甚至生命凝结而成的“艰苦奋斗，勇攀高峰”的攀钢精神，既是英雄的攀钢人践行国家战略强大的精神动力，也成为攀钢最为重要的文化基因。</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不忘初心，赢得钒钛资源综合利用核心企业桂冠</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攀西资源综合利用事关国家战略安全，特别是钒钛磁铁矿中伴生铬、钴、镍、镓等稀贵元素，是建设国防军工和社会主义现代化强国必不可少的重要资源，党中央对攀钢一直寄予厚望。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仅1978年至1987年间，时任国务院副总理的方毅9次专题召开攀西战略资源综合利用工作会议，8次到攀钢实地视察调研，倾注了大量心血。江泽民同志两次视察攀钢，并题词“努力把攀钢建设成为现代化的钢铁钒钛基地”。</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国家的期待，攀钢始终铭记在心；不辱使命，必将成就“象牙微雕钢城”。</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今年5月2日，在攀钢企业文化座谈会上，鞍钢集团党委常委、副总经理，攀钢党委书记、董事长段向东指出，不能忘记我们来时的路，不能忘记党和国家为什么要建攀钢。必须不忘初心，牢记使命，以舍我其谁的勇气，推动钒钛资源综合利用不断迈上新台阶。</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攀钢人是这么说的，更是这么做的。</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四川省开展的2018年攀西国家战略资源创新开发试验区重大科技攻关项目立项工作中，负责攀钢承担的3大项目之一的研究院教授级高工曾建华团队，针对当前钛资源开发利用现状，充分发挥钛元素在钢中具有高强高韧、耐蚀耐磨的特性，将进一步开拓和延伸后端应用，形成“资源——产品——产业”一体化完整产业链。</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 xml:space="preserve">而在前三批重大科技攻关项目中，攀钢已先后牵头承担了19个，占比达36.54%。除22个科技攻关项目外，攀钢还承担着两个试验室平台项目、3个产业化示范基地项目建设，成为当之无愧的排头兵！ </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抓项目，仅仅是攀钢在推进试验区建设的一个方面。多年来，攀钢在国家平台布局、钒钛资源综合利用规划设计、创新能力建设等方面推进有力，效果显著。”一直参与试验区建设工作的研究院副院长胡鸿飞娓娓道来，如数家珍。</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5年来，攀钢获建的钒钛资源综合利用国家重点实验室，紧紧围绕攀西战略资源创新开发利用主题，聚焦提高资源利用效率、提升资源利用价值、清洁生产与绿色制造三大方向，面向国家、行业及生产企业三个层面的需求，组织开展关键技术研发与产业转化工作，取得累累硕果，顺利通过评估验收。</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自2013年3月国家批准设立攀西国家战略资源创新开发试验区以来，攀钢累计通过科技成果鉴定（评价）610项，获省部级科学技术奖110项、专利授权2896项，主持或参与修订国际标准4项，制（修）订国家及行业标准64项。这其中，一批科技研发已转化为产业化成果。</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6年研发试验的基础上，于2012年4月建成投产的西昌钒制品分公司，采用攀钢自主知识产权、国内首创的“钙化焙烧＋硫酸浸出＋水解沉钒”氧化钒清洁生产工艺，各项技术经济指标逐年稳步提高，氧化钒收率比生产初期明显提升，盈利能力进一步增强。</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1至11月，攀钢海绵钛产量位居全国第一；高钛型高炉渣提钛项目突破了全工序产业化关键技术，即将大幅度提高攀枝花钛资源利用率，实现“变废为宝”；高端钛及钛合金集成技术研发，将满足我国航空航天及海洋工程的高端需求。</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半世纪默默耕耘，四十年攻坚克难。切实肩负历史重任，坚持以国家战略需求为引领，“呆矿”在攀钢人手中变成了造福人民和推动中华民族伟大复兴的系列精品，在这片热土上淬炼出包含攀钢精神的三线精神，已成为民族精神的重要内容。</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不懈奋斗，建成试验区的宏伟蓝图催人奋进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2018年1月17日，由国家发改委、四川省人民政府主办的试验区第四次省部联席会议，在攀枝花市召开。</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听完段向东有关攀钢在试验区建设的情况汇报，国家发改委副主任林念修，四川省委常委、常务副省长王宁对攀钢的工作充分肯定，勉励攀钢“加快建成世界级的钒钛领先企业”。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一个时代有一个时代的主题，一代人有一代人的使命。不断改革创新，实现更大突破，攀钢一直在努力。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早在国家正式批准设立试验区之前，攀钢就积极参与钒钛资源综合利用顶层设计，在国家发布的《钒钛资源综合利用和产业发展“十二五”规划》中，做了大量工作，为提高钒钛资源的整合度，实现更高层次的突破建言献策。</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今年，四川省政府工作报告提出，攀西地区要以战略资源创新引领转型发展。加快关键核心技术攻关，建设世界级钒钛产业基地，这对攀钢是机遇，更是使命。</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如今，适应攀西战略资源综合利用的体制机制创新，已在有序推进，加快构建“三个特色研究院+四个国家级创新平台+四个专业化产业园”发展大格局即将形成。提升研发效率，突破攀西资源中铁、钒、钛、铬、钴元素低成本、绿色高效综合开发利用核心技术，加强工艺技术创新升级和新产品开发，为客户提供定制化新型材料解决方案和多元化产品，攀钢正砥砺前行。</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2017年12月获得国家发改委批复命名的高速重载钢轨研发与制造技术国家地方联合工程研究中心，正不断满足我国及世界高速重载钢轨开发应用对研发的需求。发挥好国家级创新平台的作用，积极优化产业布局，聚集高端人才，瞄准关键技术，更加有力地维护国家安全和战略利益，肩负国家使命的新攀钢建设正快马扬鞭。</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不忘初心、牢记使命，落实鞍钢集团党委书记、董事长姚林提出的“高起点定位钒钛产业”要求，奋力打造基于钒钛资源综合利用的世界顶级新材料公司，助推“国之重器钢铁脊梁”的鞍钢振兴发展，攀钢已整理行装再出发！</w:t>
      </w:r>
    </w:p>
    <w:p>
      <w:pPr>
        <w:keepNext w:val="0"/>
        <w:keepLines w:val="0"/>
        <w:pageBreakBefore w:val="0"/>
        <w:kinsoku/>
        <w:wordWrap/>
        <w:overflowPunct/>
        <w:topLinePunct w:val="0"/>
        <w:autoSpaceDE/>
        <w:autoSpaceDN/>
        <w:bidi w:val="0"/>
        <w:adjustRightInd/>
        <w:snapToGrid/>
        <w:spacing w:line="360" w:lineRule="auto"/>
        <w:ind w:firstLine="643" w:firstLineChars="200"/>
        <w:textAlignment w:val="auto"/>
        <w:rPr>
          <w:rFonts w:hint="eastAsia" w:asciiTheme="majorEastAsia" w:hAnsiTheme="majorEastAsia" w:eastAsiaTheme="majorEastAsia" w:cstheme="majorEastAsia"/>
          <w:b/>
          <w:i w:val="0"/>
          <w:caps w:val="0"/>
          <w:color w:val="333333"/>
          <w:spacing w:val="0"/>
          <w:sz w:val="32"/>
          <w:szCs w:val="32"/>
          <w:u w:val="none"/>
        </w:rPr>
      </w:pPr>
    </w:p>
    <w:p>
      <w:pPr>
        <w:keepNext w:val="0"/>
        <w:keepLines w:val="0"/>
        <w:pageBreakBefore w:val="0"/>
        <w:kinsoku/>
        <w:wordWrap/>
        <w:overflowPunct/>
        <w:topLinePunct w:val="0"/>
        <w:autoSpaceDE/>
        <w:autoSpaceDN/>
        <w:bidi w:val="0"/>
        <w:adjustRightInd/>
        <w:snapToGrid/>
        <w:spacing w:line="360" w:lineRule="auto"/>
        <w:ind w:firstLine="643" w:firstLineChars="200"/>
        <w:textAlignment w:val="auto"/>
        <w:rPr>
          <w:rFonts w:hint="eastAsia" w:asciiTheme="majorEastAsia" w:hAnsiTheme="majorEastAsia" w:eastAsiaTheme="majorEastAsia" w:cstheme="majorEastAsia"/>
          <w:b/>
          <w:i w:val="0"/>
          <w:caps w:val="0"/>
          <w:color w:val="333333"/>
          <w:spacing w:val="0"/>
          <w:sz w:val="32"/>
          <w:szCs w:val="32"/>
          <w:u w:val="none"/>
        </w:rPr>
      </w:pPr>
    </w:p>
    <w:p>
      <w:pPr>
        <w:keepNext w:val="0"/>
        <w:keepLines w:val="0"/>
        <w:pageBreakBefore w:val="0"/>
        <w:kinsoku/>
        <w:wordWrap/>
        <w:overflowPunct/>
        <w:topLinePunct w:val="0"/>
        <w:autoSpaceDE/>
        <w:autoSpaceDN/>
        <w:bidi w:val="0"/>
        <w:adjustRightInd/>
        <w:snapToGrid/>
        <w:spacing w:line="360" w:lineRule="auto"/>
        <w:ind w:firstLine="643" w:firstLineChars="200"/>
        <w:textAlignment w:val="auto"/>
        <w:rPr>
          <w:rFonts w:hint="eastAsia" w:asciiTheme="majorEastAsia" w:hAnsiTheme="majorEastAsia" w:eastAsiaTheme="majorEastAsia" w:cstheme="majorEastAsia"/>
          <w:b/>
          <w:i w:val="0"/>
          <w:caps w:val="0"/>
          <w:color w:val="333333"/>
          <w:spacing w:val="0"/>
          <w:sz w:val="32"/>
          <w:szCs w:val="32"/>
          <w:u w:val="none"/>
        </w:rPr>
      </w:pPr>
      <w:r>
        <w:rPr>
          <w:rFonts w:hint="eastAsia" w:asciiTheme="majorEastAsia" w:hAnsiTheme="majorEastAsia" w:eastAsiaTheme="majorEastAsia" w:cstheme="majorEastAsia"/>
          <w:b/>
          <w:i w:val="0"/>
          <w:caps w:val="0"/>
          <w:color w:val="333333"/>
          <w:spacing w:val="0"/>
          <w:sz w:val="32"/>
          <w:szCs w:val="32"/>
          <w:u w:val="none"/>
        </w:rPr>
        <w:t>攀钢：因科技创新而立</w:t>
      </w:r>
      <w:r>
        <w:rPr>
          <w:rFonts w:hint="eastAsia" w:asciiTheme="majorEastAsia" w:hAnsiTheme="majorEastAsia" w:eastAsiaTheme="majorEastAsia" w:cstheme="majorEastAsia"/>
          <w:b/>
          <w:i w:val="0"/>
          <w:caps w:val="0"/>
          <w:color w:val="333333"/>
          <w:spacing w:val="0"/>
          <w:sz w:val="32"/>
          <w:szCs w:val="32"/>
          <w:u w:val="none"/>
        </w:rPr>
        <w:br w:type="textWrapping"/>
      </w:r>
      <w:r>
        <w:rPr>
          <w:rFonts w:hint="eastAsia" w:asciiTheme="majorEastAsia" w:hAnsiTheme="majorEastAsia" w:eastAsiaTheme="majorEastAsia" w:cstheme="majorEastAsia"/>
          <w:b/>
          <w:i w:val="0"/>
          <w:caps w:val="0"/>
          <w:color w:val="333333"/>
          <w:spacing w:val="0"/>
          <w:sz w:val="32"/>
          <w:szCs w:val="32"/>
          <w:u w:val="none"/>
        </w:rPr>
        <w:t>——庆祝改革开放40周年特别报道之二</w:t>
      </w:r>
      <w:r>
        <w:rPr>
          <w:rFonts w:hint="eastAsia" w:asciiTheme="majorEastAsia" w:hAnsiTheme="majorEastAsia" w:eastAsiaTheme="majorEastAsia" w:cstheme="majorEastAsia"/>
          <w:b/>
          <w:i w:val="0"/>
          <w:caps w:val="0"/>
          <w:color w:val="333333"/>
          <w:spacing w:val="0"/>
          <w:sz w:val="32"/>
          <w:szCs w:val="32"/>
          <w:u w:val="none"/>
        </w:rPr>
        <w:br w:type="textWrapping"/>
      </w:r>
      <w:r>
        <w:rPr>
          <w:rFonts w:hint="eastAsia" w:asciiTheme="majorEastAsia" w:hAnsiTheme="majorEastAsia" w:eastAsiaTheme="majorEastAsia" w:cstheme="majorEastAsia"/>
          <w:b/>
          <w:i w:val="0"/>
          <w:caps w:val="0"/>
          <w:color w:val="333333"/>
          <w:spacing w:val="0"/>
          <w:sz w:val="32"/>
          <w:szCs w:val="32"/>
          <w:u w:val="none"/>
        </w:rPr>
        <w:t>本报记者 胡毅</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2018年岁末，攀钢潜心10年开发的PG5钢轨首次打入加拿大市场。攀钢，再一次用突飞猛进的科技和卓越的产品向世界证明中国制造的实力。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穿越历史氤氲，解读攀钢的发展“密码”，有“建不建攀枝花，不是钢铁厂问题，是战略问题”的国家意志，有改革开放春天里最美的召唤，也有攀钢“1+4+4+1”产业格局建设，更有攀钢科技工作者永不服输、持续创新、勇攀高峰的科学精神。</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“呆矿”中有钢铁，攀钢存在之“本”</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说到攀钢，就要联系到钒钛磁铁矿。因攀西钒钛磁铁矿储藏量丰富，攀枝花成为国家三线建设最理想的场所。又因钒钛磁铁矿难冶炼、难分离的特性，被外国专家判定为没有用的“呆矿”。“呆矿”能不能炼出钢铁，事关攀钢能否顺利建设。</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攀钢研究院原副院长、钒钛磁铁矿专家汤乃武等攀钢人，与来自全国的专家，历经艰苦卓绝的努力，最终攻克了用普通高炉冶炼钒钛磁铁矿世界难题，填补了冶金史上一大空白。</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这份巨大的科技红利，使攀钢有了存在的价值，也让攀钢经济效益不断增长。上世纪80年代初，攀钢累计利税相当于国家对攀钢一期工程的总投资，攀钢人过上了“身在攀钢，吃遍中国”的好日子，也为攀钢二期建设、三期建设打下了坚实基础。科技的不断进步，也推动攀钢由“钢坯公司”到“钢材公司”再到“材变精品”的战略性转变，形成了重轨、汽车板、家电板、军用特钢为代表的大型材、板材、管材和特钢等系列钢铁产品。</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尤其是攀钢钢轨，助力中国铁路实现了从54.5公里到近500公里的时速跨越，并独家获得出口免验资格。在我国投运的高速铁路线上，75%以上的高速钢轨由攀钢提供。卓越产品的背后，是攀钢雄厚的研发实力。目前，攀钢能够生产世界最高要求和最严标准的钢轨系列产品，独创并申请了60余项钢轨专利技术，多项技术获得美国和欧盟专利授权，产品远销欧洲等30多个国家和地区。2016年，攀钢牵头代表中国修订钢轨国际标准……</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创新不止，惊喜不断。2018年，西昌钢钒通过了戴姆勒＆北京奔驰团队严格审核，标志着攀钢具备了北京奔驰汽车用钢供应商资格。回望十年前，西昌钢钒还是一片黄土坡，研究院家电与汽车用钢研究室主任郑之旺教授和他的团队就踏上了汽车板的研发之路。科研人员常年驻守西昌，开发了具有攀钢特色的汽车板体系。目前，攀钢已具备批量生产热轧汽车梁用钢、车轮用钢、冷轧汽车结构用钢、深冲用钢等系列产品的能力，实现了厚度、宽度全覆盖。</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汽车用钢“后来居上”，特钢产品研发也捷报频传。作为国家重点特殊钢科研和生产基地，国家重点军工配套企业，攀钢已经累计承担国家重点工程科研课题363项，完成国家军工及民用科研项目346项，拥有航空用G99、G50等多项生产技术专利和生产纳米级钢、核能用高纯钢等多项专有技术。在家电用钢领域，攀钢热镀铝锌板、热镀锌板、冷轧板、彩涂板及不锈钢棒线材等电器用钢产品，广泛用于格力、美的、长虹、科龙、索尼等知名电器生产企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卓越的产品和技术让攀钢人的“钢铁饭”吃得越来越有味道。</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b/>
          <w:bCs/>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“呆矿”中有钒钛，攀钢永续经营之“根”</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我们有钒、钛，再大的困难都不怕”。一直以来，钒、钛等战略产品，增强了攀钢人与市场博弈的信心。2018年，攀钢全年经营性盈利将创下历史最好水平，其中钒产业提供了强大支撑，这是攀钢几十年如一日深耕钒、钛领域获得的最好回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时光回到1978年。那一年，改革开放的春风吹遍神州大地，全国科学大会胜利召开，中国迎来了“科学的春天”。那一年，时任国务院副总理的方毅亲自挂帅，率领专家首次到攀枝花视察。当时，中国仍需要用外汇从国外进口大量的钒。方毅寄语攀钢科技人员：“钢铁研究院不光是研究钢铁，要研究有色金属，你们的任务就是综合利用，把这事做好，万民称庆。”</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改革开放的春风里，攀西钒钛资源综合开发利用道路越走越“敞亮”。历经雾化提钒建成、五氧化二钒车间投产、高炉煤气还原多钒酸铵制备三氧化二钒技术研制成功、世界领先的钒氮合金产业化技术取得突破、氧化钒清洁生产线建成等阶段，攀钢在钒资源综合利用上实现了精细化、产业化、绿色环保。</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最引以为傲的是攀钢突破国外技术封锁，不走寻常路，成功研发了钒氮合金工艺技术。为获得准确数据，攀钢研究院钒钛研究所所长孙朝晖和他的团队，跑遍大江南北，与国内科研院校密切合作，反复试验，反复论证，终获成功，并于2002年实现批量生产，提升了中国钒产业整体水平，增强了国际竞争力，产品远销海外，并推动了钢铁、建筑、汽车及石油等相关行业的技术进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穿越40年光阴，攀钢不仅发展了自己，也造福于中国和世界。</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今天的攀钢，已经发展成为全球第一钒生产企业，能生产钒渣、五氧化二钒、三氧化二钒、高钒铁、钒氮合金、钒铝合金、高纯氧化钒、高储能电池钒电解液、固体硫酸氧钒等初、中、高级钒产品；成为世界上唯一一家拥有从钛原料到钛化工、钛金属的全产业链企业，产品广泛用于军工、医疗器械、化工等领域。</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b/>
          <w:bCs/>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“呆矿”中有未来，攀钢正向世界顶级新材料公司迈进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一代人有一代人的使命，一代人有一代人的作为。未来几年，是国家实施中国制造2025、调整产业结构、推动制造业转型升级的关键时期。</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 xml:space="preserve">攀钢的科研方向怎么走？在2018年科技工作座谈会上，攀钢明确提出让科技工作有名有利有实效；全力抓好研究院3院+矿研院+设计院+信息技术院等综合性技术平台建设；立足研究院，塑造传统产品、工艺融合升级标杆，打造资源综合利用的攀枝花本院基础平台、全新材料研发的成都分院创新平台、高品质材料研发的创业平台…… </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新形势下，攀钢将科技作为企业发展战略之一，推出了系列新机制、新举措，充分激发科研人员的积极性。四川发布的2018年创新指数显示，攀钢有效发明专利拥有量等指标名列四川省企业第一。2018年，攀钢获省级和行业协会科技奖励19项，这是攀钢提升科技创新创效的具体体现。</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正是每年都有创新、每年都有进步，才推动了攀钢科研水平不断提高。截至目前，攀钢已在钢铁、钒钛、环保等领域取得了2979项科研成果。在3020项有效专利中，国际专利达69项。</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2016年攀枝花钒钛论坛上，攀钢技术发展部部长刘丰强专题介绍了攀钢在钒钛资源综合利用等领域取得的辉煌成就，得到了专家、学者、中央媒体的广泛关注。中国工程院院士、核动力专家于俊崇表示，攀钢因军工而生，是国家军工领域用金属材料的核心供应商，也是国内唯一一个整个产线体系不需要外协的企业，依托攀钢强大的冶炼、轧制和制管方面的技术力量，攀枝花钒钛资源利用一定会取得更大的成绩。</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每一项发明、每一次进步、每一次肯定，都让我们骄傲地回望过去，也看到了未来。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自2013年攀西国家战略资源创新开发试验区成立以来，攀钢作为龙头企业，先后承担了试验区4批共22个重大科技攻关项目，占比达36.5%，取得了以氧化钒清洁生产为代表的一批重大产业化成果，建成了世界单线规模最大的西昌钒制品分公司。同时，形成了基于攀西资源生产高品质海绵钛的成套产业化技术，一批前瞻性钒钛技术研究取得重大进展，一批重点钒钛技术创新方向达成了共识。</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但是，攀钢科技之路仍然任重道远。钒钛磁铁矿中伴生铬、钴、镍、镓等稀有元素，是国防军工和现代化强国必不可少的重要资源，需要攀钢人不断探索、不断创新。</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新的历史机遇下，攀钢正坚定不移地实施“科技创新、科技创业”战略，把攀钢打造成为基于攀西资源中铁、钒、钛、铬、钴元素低成本、绿色高效综合开发利用的技术创新型企业，一个基于钒钛资源综合利用的世界顶级新材料公司正阔步走来。</w:t>
      </w:r>
    </w:p>
    <w:p>
      <w:pPr>
        <w:keepNext w:val="0"/>
        <w:keepLines w:val="0"/>
        <w:pageBreakBefore w:val="0"/>
        <w:kinsoku/>
        <w:wordWrap/>
        <w:overflowPunct/>
        <w:topLinePunct w:val="0"/>
        <w:autoSpaceDE/>
        <w:autoSpaceDN/>
        <w:bidi w:val="0"/>
        <w:adjustRightInd/>
        <w:snapToGrid/>
        <w:spacing w:line="360" w:lineRule="auto"/>
        <w:ind w:firstLine="640" w:firstLineChars="200"/>
        <w:textAlignment w:val="auto"/>
        <w:rPr>
          <w:rFonts w:hint="eastAsia" w:asciiTheme="majorEastAsia" w:hAnsiTheme="majorEastAsia" w:eastAsiaTheme="majorEastAsia" w:cstheme="majorEastAsia"/>
          <w:b w:val="0"/>
          <w:bCs/>
          <w:i w:val="0"/>
          <w:caps w:val="0"/>
          <w:color w:val="333333"/>
          <w:spacing w:val="0"/>
          <w:sz w:val="32"/>
          <w:szCs w:val="32"/>
          <w:u w:val="none"/>
        </w:rPr>
      </w:pPr>
    </w:p>
    <w:p>
      <w:pPr>
        <w:keepNext w:val="0"/>
        <w:keepLines w:val="0"/>
        <w:pageBreakBefore w:val="0"/>
        <w:kinsoku/>
        <w:wordWrap/>
        <w:overflowPunct/>
        <w:topLinePunct w:val="0"/>
        <w:autoSpaceDE/>
        <w:autoSpaceDN/>
        <w:bidi w:val="0"/>
        <w:adjustRightInd/>
        <w:snapToGrid/>
        <w:spacing w:line="360" w:lineRule="auto"/>
        <w:ind w:firstLine="640" w:firstLineChars="200"/>
        <w:textAlignment w:val="auto"/>
        <w:rPr>
          <w:rFonts w:hint="eastAsia" w:asciiTheme="majorEastAsia" w:hAnsiTheme="majorEastAsia" w:eastAsiaTheme="majorEastAsia" w:cstheme="majorEastAsia"/>
          <w:b w:val="0"/>
          <w:bCs/>
          <w:i w:val="0"/>
          <w:caps w:val="0"/>
          <w:color w:val="333333"/>
          <w:spacing w:val="0"/>
          <w:sz w:val="32"/>
          <w:szCs w:val="32"/>
          <w:u w:val="none"/>
        </w:rPr>
      </w:pPr>
    </w:p>
    <w:p>
      <w:pPr>
        <w:keepNext w:val="0"/>
        <w:keepLines w:val="0"/>
        <w:pageBreakBefore w:val="0"/>
        <w:kinsoku/>
        <w:wordWrap/>
        <w:overflowPunct/>
        <w:topLinePunct w:val="0"/>
        <w:autoSpaceDE/>
        <w:autoSpaceDN/>
        <w:bidi w:val="0"/>
        <w:adjustRightInd/>
        <w:snapToGrid/>
        <w:spacing w:line="360" w:lineRule="auto"/>
        <w:ind w:firstLine="643" w:firstLineChars="200"/>
        <w:textAlignment w:val="auto"/>
        <w:rPr>
          <w:rFonts w:hint="eastAsia" w:asciiTheme="majorEastAsia" w:hAnsiTheme="majorEastAsia" w:eastAsiaTheme="majorEastAsia" w:cstheme="majorEastAsia"/>
          <w:b/>
          <w:i w:val="0"/>
          <w:caps w:val="0"/>
          <w:color w:val="333333"/>
          <w:spacing w:val="0"/>
          <w:sz w:val="32"/>
          <w:szCs w:val="32"/>
          <w:u w:val="none"/>
        </w:rPr>
      </w:pPr>
      <w:r>
        <w:rPr>
          <w:rFonts w:hint="eastAsia" w:asciiTheme="majorEastAsia" w:hAnsiTheme="majorEastAsia" w:eastAsiaTheme="majorEastAsia" w:cstheme="majorEastAsia"/>
          <w:b/>
          <w:i w:val="0"/>
          <w:caps w:val="0"/>
          <w:color w:val="333333"/>
          <w:spacing w:val="0"/>
          <w:sz w:val="32"/>
          <w:szCs w:val="32"/>
          <w:u w:val="none"/>
        </w:rPr>
        <w:t>攀钢：因改革开放而兴</w:t>
      </w:r>
      <w:r>
        <w:rPr>
          <w:rFonts w:hint="eastAsia" w:asciiTheme="majorEastAsia" w:hAnsiTheme="majorEastAsia" w:eastAsiaTheme="majorEastAsia" w:cstheme="majorEastAsia"/>
          <w:b/>
          <w:i w:val="0"/>
          <w:caps w:val="0"/>
          <w:color w:val="333333"/>
          <w:spacing w:val="0"/>
          <w:sz w:val="32"/>
          <w:szCs w:val="32"/>
          <w:u w:val="none"/>
        </w:rPr>
        <w:br w:type="textWrapping"/>
      </w:r>
      <w:r>
        <w:rPr>
          <w:rFonts w:hint="eastAsia" w:asciiTheme="majorEastAsia" w:hAnsiTheme="majorEastAsia" w:eastAsiaTheme="majorEastAsia" w:cstheme="majorEastAsia"/>
          <w:b/>
          <w:i w:val="0"/>
          <w:caps w:val="0"/>
          <w:color w:val="333333"/>
          <w:spacing w:val="0"/>
          <w:sz w:val="32"/>
          <w:szCs w:val="32"/>
          <w:u w:val="none"/>
        </w:rPr>
        <w:t>——庆祝改革开放40周年特别报道之三</w:t>
      </w:r>
      <w:r>
        <w:rPr>
          <w:rFonts w:hint="eastAsia" w:asciiTheme="majorEastAsia" w:hAnsiTheme="majorEastAsia" w:eastAsiaTheme="majorEastAsia" w:cstheme="majorEastAsia"/>
          <w:b/>
          <w:i w:val="0"/>
          <w:caps w:val="0"/>
          <w:color w:val="333333"/>
          <w:spacing w:val="0"/>
          <w:sz w:val="32"/>
          <w:szCs w:val="32"/>
          <w:u w:val="none"/>
        </w:rPr>
        <w:br w:type="textWrapping"/>
      </w:r>
      <w:r>
        <w:rPr>
          <w:rFonts w:hint="eastAsia" w:asciiTheme="majorEastAsia" w:hAnsiTheme="majorEastAsia" w:eastAsiaTheme="majorEastAsia" w:cstheme="majorEastAsia"/>
          <w:b/>
          <w:i w:val="0"/>
          <w:caps w:val="0"/>
          <w:color w:val="333333"/>
          <w:spacing w:val="0"/>
          <w:sz w:val="32"/>
          <w:szCs w:val="32"/>
          <w:u w:val="none"/>
        </w:rPr>
        <w:t>本报记者 汪云富</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40年与时代同行，攀钢成就举世瞩目。</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40年弹指一挥间，攀钢面貌焕然一新。</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乘着改革开放的巨轮，从单一钢铁厂逐步发展成为跨区域、跨行业的大型钢铁钒钛企业集团，攀钢在中国钢铁史上，留下浓墨重彩的一笔！</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b/>
          <w:bCs/>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改革先锋</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上世纪80年代，一部以攀钢改革为原型的电影《共和国不会忘记》，成就一个传奇；“攀钢人一手端庆功酒，一手拿卤水”的故事，广为传颂。</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1978年前，国家对攀钢的产品实行统购统销，对效益和资金实行统收统支。戴着“钢坯公司”的帽子，攀钢投产8年连续亏损。二期工程经论证效益很好，但因资金短缺被迫缓建；职工生活欠账很多，队伍很不稳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随着改革开放的号角吹响，各兄弟钢企发挥自身优势，招揽人才，扩大生产，气势咄咄逼人。攀钢却由于交通、地理位置等条件先天不足，举步维艰，思变成为唯一选择。</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“一吨钢坯才卖几百块，只相当于女同志的一条裙子钱，不上二期哪有出路！”尽管时光已走过30多个春秋，但提及1986年破土动工的二期工程，攀钢原工会主席王成良心情依旧难以平静。</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1987年5月28日，这是一个写入中国改革开放历史的日子。</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钢二期工程建设向国际银团贷款2.1亿美元协议签字仪式，在北京人民大会堂举行。中国第一家国有大型工业企业向外国财团巨额贷款、负债经营的全权代表赵忠玉，在贷款协议上郑重地留下了自己的名字。9年后，攀钢严格履行协议还清商贷，美誉传遍全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全面建成投产的二期工程，填补了西部没有现代化板带连轧能力的空白，实现了产能上规模、品种上台阶，攀钢变为名副其实的“钢材公司”。</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改革开放头10年，攀钢就累计实现利税28.6亿元，上交国家17.5亿元。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传奇，不仅仅表现在敢于做第一个吃“螃蟹”的人。</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1980年，攀钢在全国率先实行经营承包责任制，探索“集中指挥、统一经营、专业协作、分类放权”的专业化集中统管模式。</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上世纪90年代，高度集中的计划经济体制下建设起来的攀钢，在全国首批开展现代企业制度试点，依靠改革开放快速发展。</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作为我国第一批上市公司的攀钢钒钛，1996年在深交所上市后不断在融资方面积极探索，分别在2003年、2006年发行16亿元可转换公司债券、32亿元分离交易的可转换公司债券，为经营和发展提供了资金保障，为打造具有竞争力的钒钛产业奠定了基础。</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从上世纪拥有我国第一批财务公司、第一批境外公司，到党的十八大、十九大以来，攀钢科学制定发展战略，明确了新攀钢建设的发展方向；近四年劳动用工总量减幅46.8%，解决了冗员突出的历史难题；调整产品产线产业结构，重构企业的核心竞争力；培育新兴产业和非钢产业，形成新的强大的利润增长点……改革创新组合拳频频推出，从“求生存”到“促发展”的跨越已经铸就。</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“攀钢因改革开放而兴，这是我们的变革基因。”鞍钢集团党委常委、副总经理，攀钢党委书记、董事长段向东的一席话，对在不断改革创新中完善和发展自己的攀钢，作出了生动诠释。</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b/>
          <w:bCs/>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迈步全球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在对外开放过程中，攀钢人走向世界时遭遇过漩涡，经历过风浪，但最终在与强手不断过招中学会了“游泳”。</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2000年至2002年，攀钢曾连续遭遇4起反倾销诉讼。</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其中，2001年9月，美国8家企业对包括中国在内的20个国家和地区出口到美国的冷轧板、卷，提出反倾销起诉。这涉及原宝钢和攀钢等我国7家大型钢铁企业。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2001年11月30日，攀钢决定代表中国钢铁企业应诉有“入世第一案”之称的美国企业提出的反倾销案。</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但是，与高手过招并非易事！不懂“游戏规则”从头学起，不会打官司从零开始……艰难困苦，玉汝于成！最终，攀钢赢得了这场反倾销诉讼。</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要知道，在那几年外国对我国提出的470多起反倾销起诉案中，国内企业的应诉率不到70%，而绝对胜诉率不到40%。</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十一届三中全会以来，攀钢自觉走向市场、积极抢占市场，实现了从封闭半封闭到对外开放的历史性转变。</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1998年4月，国外钒公司第一次来中国推销钒氮合金产品。攀钢对这项新技术表示出浓厚兴趣，当试探着希望引进该技术时，却遭到了拒绝。</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引进技术被拒绝，先进生产线不让看，引进设备的生产进度不正常……攀钢被“封锁”的事遇到不少。</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“封锁”激发出攀钢为国争光的创新潜能！</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1979年雾化提钒投产，使我国由钒进口国一跃成为钒出口国；2001年，国内首条钒氮合金生产线建成，外国企业独家垄断全球市场的格局从此改写；2012年，开发出航空航天领域结构材料中最重要添加剂钒铝合金，打破了之前全球只有美国和德国实现了工业化生产并占领市场的局面。</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2018年4月9日至11日，第94届国际钒技术委员会年会在巴西圣保罗举行。作为本届年会轮值主席，攀钢董事长段向东提出的加大委员会在钒应用推广项目上的投入等提议，得到了全体会员的积极响应。</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从上世纪90年代初加入国际钒技术委员会以来，攀钢已成为该组织最重要的成员之一，多次担任委员会轮值主席，话语权不断增强。</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钒有非凡业绩，钛也很不简单。突破钒钛磁铁矿中二氧化钛选别重大技术难题，微细粒级钛铁矿回收技术世界首创，实现钛资源综合利用突破性进展；海绵钛工艺流程全线打通，成功进入钛金属领域；启动高炉渣提钛产业化标准示范线建设，开启攀钢资源综合利用新篇章……</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2011年7月由攀钢发起成立、2013年正式成为第三批国家产业技术创新战略试点联盟的钒钛资源综合利用产业技术创新战略联盟， 2018年又新增7家单位，开放协同创新再上新台阶。</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提到攀钢产品，人们的第一印象往往是钢轨。</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2017年5月31日，由中国企业承建的肯尼亚蒙巴萨——内罗毕标轨铁路正式通车运营。这是海外首条完全按照“中国标准”兴建的现代化铁路，开启了中国铁路全产业链境外合作的新模式。</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这并非攀钢钢轨第一次铺上非洲大陆，“攀钢制造”也并非只受到非洲国家的青睐。</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攀钢潜心10年开发、可满足国内外大轴重、大密度、高运量重载铁路建设需求的PG5钢轨，在国内西煤东运骨干线路——大秦线上表现突出，今年又挺进国际市场，标志着攀钢第五代钢轨正逐渐获得全球认可，向世界展示了中国钢轨的研究水平与产品品质。</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经过在美国试验线上与国际知名钢轨企业同台竞技，日前，攀钢PG5钢轨已成功应用于加拿大重载线路，即将进入巴西市场。这标志着攀钢第五代钢轨在国际市场拓展中迈出了坚实的一步。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从1983年钢轨首次出口到印度开始，攀钢钢轨产品已在“一带一路”沿线30多个国家和地区“安家落户”。</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积极落实“中国制造2025”国家战略，大力推进自主创新，攀钢正支撑着中国高铁走向世界！</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3" w:firstLineChars="200"/>
        <w:jc w:val="left"/>
        <w:textAlignment w:val="auto"/>
        <w:rPr>
          <w:rFonts w:hint="eastAsia" w:asciiTheme="majorEastAsia" w:hAnsiTheme="majorEastAsia" w:eastAsiaTheme="majorEastAsia" w:cstheme="majorEastAsia"/>
          <w:b/>
          <w:bCs/>
          <w:i w:val="0"/>
          <w:caps w:val="0"/>
          <w:color w:val="000000"/>
          <w:spacing w:val="0"/>
          <w:sz w:val="32"/>
          <w:szCs w:val="32"/>
          <w:u w:val="none"/>
        </w:rPr>
      </w:pPr>
      <w:r>
        <w:rPr>
          <w:rFonts w:hint="eastAsia" w:asciiTheme="majorEastAsia" w:hAnsiTheme="majorEastAsia" w:eastAsiaTheme="majorEastAsia" w:cstheme="majorEastAsia"/>
          <w:b/>
          <w:bCs/>
          <w:i w:val="0"/>
          <w:caps w:val="0"/>
          <w:color w:val="000000"/>
          <w:spacing w:val="0"/>
          <w:sz w:val="32"/>
          <w:szCs w:val="32"/>
          <w:u w:val="none"/>
        </w:rPr>
        <w:t>扬帆远航</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前不久，Infinity 2018阿里云亚太峰会在新加坡举行，攀钢受邀出席盛会。积微物联在会上作“世界钒钛钢铁巨头拥抱人工智能”主题演讲，分享攀钢在大数据、云计算、人工智能、工业互联网等领域的发展成就和核心优势，吸引了来自亚太地区各大优秀企业的关注。</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受到关注的背后，是攀钢落实鞍钢集团党委书记、董事长姚林“把提高资源产出效率作为开放的出发点和切入点”的具体体现。</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拓宽视野，对标找差，这是攀钢渡过前进中的一道道难关、创造一个个传奇的有力注脚。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就在前几年，攀钢借鉴先进经验，创造性地推进经营主体责任落实，严格执行《三年滚动发展规划》《年度生产经营白皮书》《全面预算管理》及《战略绩效与薪酬评价考核办法》四大制度性文件，在全行业率先实施“保命经营”，壮士断腕，“止血”扭亏。2017年，攀钢甩掉连续6年亏损的帽子，今年经营性利润有望创历史新高！</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从在全国招聘教师，到让职工子女接受良好教育；从“三块石头架口锅”，到“践行共享理念 关爱一线员工”；从学邯钢模拟市场降成本，到“学习先进企业管理经验，优化创新公司管理模式”；从推行全面预算管理，到“深化对标管理 打造最优工厂（产线）”……学习借鉴国内外先进企业的现代化管理模式和先进经验，以技术最优和管理最优支撑永续经营，新攀钢建设更加从容，更加自信！</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如今，积微物联（CⅢ）营业收入4年增长超百倍，成功入选国务院国资委国企改革“双百企业”名单，正力争成为国家级工业互联网样板工程；天府惠融（DⅢ）运营两年已累计服务产业链中小企业超500家，提供融资支持超30亿元，荣获成都市青羊区“成长型创新型企业”桂冠；产业链贸易（GⅢ）今年前11月衔接贸易项目536个，销售收入、创效分别超2017年全年5.39亿元、3032万元……有着变革基因的攀钢人，始终抓住改革开放的历史机遇，战略新兴产业蓬勃发展，并在行业崭露头角，成为典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i w:val="0"/>
          <w:caps w:val="0"/>
          <w:color w:val="000000"/>
          <w:spacing w:val="0"/>
          <w:sz w:val="32"/>
          <w:szCs w:val="32"/>
          <w:u w:val="none"/>
        </w:rPr>
      </w:pPr>
      <w:r>
        <w:rPr>
          <w:rFonts w:hint="eastAsia" w:asciiTheme="majorEastAsia" w:hAnsiTheme="majorEastAsia" w:eastAsiaTheme="majorEastAsia" w:cstheme="majorEastAsia"/>
          <w:i w:val="0"/>
          <w:caps w:val="0"/>
          <w:color w:val="000000"/>
          <w:spacing w:val="0"/>
          <w:sz w:val="32"/>
          <w:szCs w:val="32"/>
          <w:u w:val="none"/>
        </w:rPr>
        <w:t>光阴荏苒，岁月如歌。以更加开放的胸襟，着力构建“1+4+4+1”产业格局，加快打造世界顶级新材料公司，攀钢正乘风破浪，顺风满帆！</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b w:val="0"/>
          <w:bCs/>
          <w:i w:val="0"/>
          <w:caps w:val="0"/>
          <w:color w:val="333333"/>
          <w:spacing w:val="0"/>
          <w:sz w:val="32"/>
          <w:szCs w:val="32"/>
          <w:u w:val="none"/>
          <w:lang w:val="en-US" w:eastAsia="zh-CN"/>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jc w:val="left"/>
        <w:textAlignment w:val="auto"/>
        <w:rPr>
          <w:rFonts w:hint="eastAsia" w:asciiTheme="majorEastAsia" w:hAnsiTheme="majorEastAsia" w:eastAsiaTheme="majorEastAsia" w:cstheme="majorEastAsia"/>
          <w:b w:val="0"/>
          <w:bCs/>
          <w:i w:val="0"/>
          <w:caps w:val="0"/>
          <w:color w:val="333333"/>
          <w:spacing w:val="0"/>
          <w:sz w:val="32"/>
          <w:szCs w:val="32"/>
          <w:u w:val="none"/>
          <w:lang w:val="en-US" w:eastAsia="zh-CN"/>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left"/>
        <w:textAlignment w:val="auto"/>
        <w:rPr>
          <w:rFonts w:hint="eastAsia" w:asciiTheme="majorEastAsia" w:hAnsiTheme="majorEastAsia" w:eastAsiaTheme="majorEastAsia" w:cstheme="majorEastAsia"/>
          <w:b w:val="0"/>
          <w:bCs/>
          <w:i w:val="0"/>
          <w:caps w:val="0"/>
          <w:color w:val="333333"/>
          <w:spacing w:val="0"/>
          <w:sz w:val="32"/>
          <w:szCs w:val="32"/>
          <w:u w:val="none"/>
          <w:lang w:val="en-US" w:eastAsia="zh-CN"/>
        </w:rPr>
      </w:pPr>
      <w:r>
        <w:rPr>
          <w:rFonts w:hint="eastAsia" w:asciiTheme="majorEastAsia" w:hAnsiTheme="majorEastAsia" w:eastAsiaTheme="majorEastAsia" w:cstheme="majorEastAsia"/>
          <w:b w:val="0"/>
          <w:bCs/>
          <w:i w:val="0"/>
          <w:caps w:val="0"/>
          <w:color w:val="333333"/>
          <w:spacing w:val="0"/>
          <w:sz w:val="32"/>
          <w:szCs w:val="32"/>
          <w:u w:val="none"/>
          <w:lang w:val="en-US" w:eastAsia="zh-CN"/>
        </w:rPr>
        <w:t>攀钢：因供给侧结构性改革而新</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left"/>
        <w:textAlignment w:val="auto"/>
        <w:rPr>
          <w:rFonts w:hint="eastAsia" w:asciiTheme="majorEastAsia" w:hAnsiTheme="majorEastAsia" w:eastAsiaTheme="majorEastAsia" w:cstheme="majorEastAsia"/>
          <w:b w:val="0"/>
          <w:bCs/>
          <w:i w:val="0"/>
          <w:caps w:val="0"/>
          <w:color w:val="333333"/>
          <w:spacing w:val="0"/>
          <w:sz w:val="32"/>
          <w:szCs w:val="32"/>
          <w:u w:val="none"/>
          <w:lang w:val="en-US" w:eastAsia="zh-CN"/>
        </w:rPr>
      </w:pPr>
      <w:r>
        <w:rPr>
          <w:rFonts w:hint="eastAsia" w:asciiTheme="majorEastAsia" w:hAnsiTheme="majorEastAsia" w:eastAsiaTheme="majorEastAsia" w:cstheme="majorEastAsia"/>
          <w:b w:val="0"/>
          <w:bCs/>
          <w:i w:val="0"/>
          <w:caps w:val="0"/>
          <w:color w:val="333333"/>
          <w:spacing w:val="0"/>
          <w:sz w:val="32"/>
          <w:szCs w:val="32"/>
          <w:u w:val="none"/>
          <w:lang w:val="en-US" w:eastAsia="zh-CN"/>
        </w:rPr>
        <w:t>——庆祝改革开放40周年特别报道之四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left"/>
        <w:textAlignment w:val="auto"/>
        <w:rPr>
          <w:rFonts w:hint="eastAsia" w:asciiTheme="majorEastAsia" w:hAnsiTheme="majorEastAsia" w:eastAsiaTheme="majorEastAsia" w:cstheme="majorEastAsia"/>
          <w:b w:val="0"/>
          <w:bCs/>
          <w:i w:val="0"/>
          <w:caps w:val="0"/>
          <w:color w:val="333333"/>
          <w:spacing w:val="0"/>
          <w:sz w:val="32"/>
          <w:szCs w:val="32"/>
          <w:u w:val="none"/>
          <w:lang w:val="en-US" w:eastAsia="zh-CN"/>
        </w:rPr>
      </w:pPr>
      <w:r>
        <w:rPr>
          <w:rFonts w:hint="eastAsia" w:asciiTheme="majorEastAsia" w:hAnsiTheme="majorEastAsia" w:eastAsiaTheme="majorEastAsia" w:cstheme="majorEastAsia"/>
          <w:b w:val="0"/>
          <w:bCs/>
          <w:i w:val="0"/>
          <w:caps w:val="0"/>
          <w:color w:val="333333"/>
          <w:spacing w:val="0"/>
          <w:sz w:val="32"/>
          <w:szCs w:val="32"/>
          <w:u w:val="none"/>
          <w:lang w:val="en-US" w:eastAsia="zh-CN"/>
        </w:rPr>
        <w:t>本报记者 胡毅</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left"/>
        <w:textAlignment w:val="auto"/>
        <w:rPr>
          <w:rFonts w:hint="eastAsia" w:asciiTheme="majorEastAsia" w:hAnsiTheme="majorEastAsia" w:eastAsiaTheme="majorEastAsia" w:cstheme="majorEastAsia"/>
          <w:b w:val="0"/>
          <w:bCs/>
          <w:i w:val="0"/>
          <w:caps w:val="0"/>
          <w:color w:val="333333"/>
          <w:spacing w:val="0"/>
          <w:sz w:val="32"/>
          <w:szCs w:val="32"/>
          <w:u w:val="none"/>
          <w:lang w:val="en-US" w:eastAsia="zh-CN"/>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3年，如白驹过隙；3年，似惊鸿一瞥。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3年，一段壮美的航程；3年，一份收获的喜悦。</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2016年，攀钢大幅减亏；2017年，攀钢结束连续6年亏损历史；2018年前11个月，攀钢利润同比增长10.61倍，创历史最好水平。从持续亏损到利润最佳，是什么灵丹妙药，让攀钢在短短3年时间凤凰涅槃、浴火重生？</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shd w:val="clear" w:fill="FFFFFF"/>
        </w:rPr>
      </w:pPr>
      <w:r>
        <w:rPr>
          <w:rFonts w:hint="eastAsia" w:asciiTheme="majorEastAsia" w:hAnsiTheme="majorEastAsia" w:eastAsiaTheme="majorEastAsia" w:cstheme="majorEastAsia"/>
          <w:i w:val="0"/>
          <w:caps w:val="0"/>
          <w:color w:val="000000"/>
          <w:spacing w:val="0"/>
          <w:sz w:val="32"/>
          <w:szCs w:val="32"/>
          <w:shd w:val="clear" w:fill="FFFFFF"/>
        </w:rPr>
        <w:t>答案清晰有力：面对钢铁行业空前困局，是攀钢人从未放弃的执着与奋斗；是攀钢人紧抓供给侧结构性改革机遇，确立了新攀钢建设战略构想，积微速成，深彻改革，彻底扭转了生产经营被动局面，实现了战略转型，重构了企业的核心竞争力。</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3" w:firstLineChars="200"/>
        <w:textAlignment w:val="auto"/>
        <w:rPr>
          <w:rFonts w:hint="eastAsia" w:asciiTheme="majorEastAsia" w:hAnsiTheme="majorEastAsia" w:eastAsiaTheme="majorEastAsia" w:cstheme="majorEastAsia"/>
          <w:b/>
          <w:bCs/>
          <w:i w:val="0"/>
          <w:caps w:val="0"/>
          <w:color w:val="000000"/>
          <w:spacing w:val="0"/>
          <w:sz w:val="32"/>
          <w:szCs w:val="32"/>
        </w:rPr>
      </w:pPr>
      <w:r>
        <w:rPr>
          <w:rFonts w:hint="eastAsia" w:asciiTheme="majorEastAsia" w:hAnsiTheme="majorEastAsia" w:eastAsiaTheme="majorEastAsia" w:cstheme="majorEastAsia"/>
          <w:b/>
          <w:bCs/>
          <w:i w:val="0"/>
          <w:caps w:val="0"/>
          <w:color w:val="000000"/>
          <w:spacing w:val="0"/>
          <w:sz w:val="32"/>
          <w:szCs w:val="32"/>
          <w:shd w:val="clear" w:fill="FFFFFF"/>
        </w:rPr>
        <w:t>新攀钢战略构想</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3" w:firstLineChars="200"/>
        <w:textAlignment w:val="auto"/>
        <w:rPr>
          <w:rFonts w:hint="eastAsia" w:asciiTheme="majorEastAsia" w:hAnsiTheme="majorEastAsia" w:eastAsiaTheme="majorEastAsia" w:cstheme="majorEastAsia"/>
          <w:b/>
          <w:bCs/>
          <w:i w:val="0"/>
          <w:caps w:val="0"/>
          <w:color w:val="000000"/>
          <w:spacing w:val="0"/>
          <w:sz w:val="32"/>
          <w:szCs w:val="32"/>
        </w:rPr>
      </w:pPr>
      <w:r>
        <w:rPr>
          <w:rFonts w:hint="eastAsia" w:asciiTheme="majorEastAsia" w:hAnsiTheme="majorEastAsia" w:eastAsiaTheme="majorEastAsia" w:cstheme="majorEastAsia"/>
          <w:b/>
          <w:bCs/>
          <w:i w:val="0"/>
          <w:caps w:val="0"/>
          <w:color w:val="000000"/>
          <w:spacing w:val="0"/>
          <w:sz w:val="32"/>
          <w:szCs w:val="32"/>
          <w:shd w:val="clear" w:fill="FFFFFF"/>
        </w:rPr>
        <w:t>明确企业发展方向</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在攀钢的发展进程中，总有那么一些特殊的年份，镌刻在攀钢人的记忆里：1965年开启艰苦卓绝一期建设、1986年二期建设、2001年三期建设；2016年，开启新攀钢建设元年……</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每一个特殊年份的背后，都取得了巨大的进步，攀钢实现了从无到有、从钢坯公司到钢材公司再到精品的战略性转变。新攀钢建设则着力解决生存和发展问题，全面推进传统产业高质量创新、法人企业高水平盈利、新兴产业高速度发展。</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然而，发展的前提是解决好生存问题。2016年，攀钢提出“深化保命经营，加快改革发展，以坚定的决心和勇气推动新攀钢建设”， “保命经营”和“新攀钢建设”成为干部职工关注的焦点。曾经“身在攀钢，吃遍中国”的攀钢，从2011年开始陷入持续亏损泥潭，为了活着，不得不面对生存命题，这是何等悲壮！</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攀钢退步了吗？历经50年发展，攀钢产品享誉神州，走向全国。攀钢人不思进取吗？一名职工说出了让所有人沉思的话，“我们的技术强、产品优，降本潜力挖了又挖；我们一岗多能，一个人干几个人的活，为什么还会亏？”</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为什么会亏？这是历史之问，是攀钢之问，也是时代之问。随着中国经济告别高速增长转而进入“新常态”，钢铁业的全盛时代一去不复返，产能严重过剩，需求持续低迷。2015年，攀钢全年钢材综合结算价格同比下降685元/吨，产品降价减利达78.6亿元。人多负担重、物流成本高等重重困难，压得攀钢喘不过气来。最严峻的时候，攀钢资金链几近断裂，主营业务亏损加剧……</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就在钢铁行业哀鸿遍野、攀钢处于生死存亡边缘之际，国家“三去一降一补”政策出台，提出2017年压减钢铁产能5000万吨左右，这无疑为寒冬中求生存的攀钢点亮了黎明的曙光。</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然而，饭菜里有钢铁的攀钢，要解决的不仅仅是生存问题，更重要的是如何解决长远发展问题，实现永续经营。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以新的思维、新的思路、新的办法，全面推进新攀钢建设。”面对供给侧结构性改革的历史机遇，攀钢决策层在广泛调研、深入研究后，提出了新攀钢建设战略构想：实施“3·3·3”治理工程，加快构建形成“1+4+4+1”产业格局，做好以钒、钛、特殊金属新材料为主攻方向的研发创新产业，做好钒、钛、普钢、特钢四大主要产业，做好矿产资源、积微物联、产业链金融、产业链贸易四大基础支撑产业，做好特色非钢产业，建设基于钒钛资源综合利用的世界顶级新材料公司。</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shd w:val="clear" w:fill="FFFFFF"/>
        </w:rPr>
      </w:pPr>
      <w:r>
        <w:rPr>
          <w:rFonts w:hint="eastAsia" w:asciiTheme="majorEastAsia" w:hAnsiTheme="majorEastAsia" w:eastAsiaTheme="majorEastAsia" w:cstheme="majorEastAsia"/>
          <w:i w:val="0"/>
          <w:caps w:val="0"/>
          <w:color w:val="000000"/>
          <w:spacing w:val="0"/>
          <w:sz w:val="32"/>
          <w:szCs w:val="32"/>
          <w:shd w:val="clear" w:fill="FFFFFF"/>
        </w:rPr>
        <w:t>高瞻远瞩的新攀钢战略构想，点燃了攀钢人“艰苦奋斗，勇攀高峰”的澎湃激情。干部职工表示，新攀钢战略构想，重新唤醒了干部职工追梦、圆梦能力，让企业看到了未来。</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3" w:firstLineChars="200"/>
        <w:textAlignment w:val="auto"/>
        <w:rPr>
          <w:rFonts w:hint="eastAsia" w:asciiTheme="majorEastAsia" w:hAnsiTheme="majorEastAsia" w:eastAsiaTheme="majorEastAsia" w:cstheme="majorEastAsia"/>
          <w:b/>
          <w:bCs/>
          <w:i w:val="0"/>
          <w:caps w:val="0"/>
          <w:color w:val="000000"/>
          <w:spacing w:val="0"/>
          <w:sz w:val="32"/>
          <w:szCs w:val="32"/>
        </w:rPr>
      </w:pPr>
      <w:r>
        <w:rPr>
          <w:rFonts w:hint="eastAsia" w:asciiTheme="majorEastAsia" w:hAnsiTheme="majorEastAsia" w:eastAsiaTheme="majorEastAsia" w:cstheme="majorEastAsia"/>
          <w:b/>
          <w:bCs/>
          <w:i w:val="0"/>
          <w:caps w:val="0"/>
          <w:color w:val="000000"/>
          <w:spacing w:val="0"/>
          <w:sz w:val="32"/>
          <w:szCs w:val="32"/>
          <w:shd w:val="clear" w:fill="FFFFFF"/>
        </w:rPr>
        <w:t>发展方向决定企业命运</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3" w:firstLineChars="200"/>
        <w:textAlignment w:val="auto"/>
        <w:rPr>
          <w:rFonts w:hint="eastAsia" w:asciiTheme="majorEastAsia" w:hAnsiTheme="majorEastAsia" w:eastAsiaTheme="majorEastAsia" w:cstheme="majorEastAsia"/>
          <w:b/>
          <w:bCs/>
          <w:i w:val="0"/>
          <w:caps w:val="0"/>
          <w:color w:val="000000"/>
          <w:spacing w:val="0"/>
          <w:sz w:val="32"/>
          <w:szCs w:val="32"/>
        </w:rPr>
      </w:pPr>
      <w:r>
        <w:rPr>
          <w:rFonts w:hint="eastAsia" w:asciiTheme="majorEastAsia" w:hAnsiTheme="majorEastAsia" w:eastAsiaTheme="majorEastAsia" w:cstheme="majorEastAsia"/>
          <w:b/>
          <w:bCs/>
          <w:i w:val="0"/>
          <w:caps w:val="0"/>
          <w:color w:val="000000"/>
          <w:spacing w:val="0"/>
          <w:sz w:val="32"/>
          <w:szCs w:val="32"/>
          <w:shd w:val="clear" w:fill="FFFFFF"/>
        </w:rPr>
        <w:t>新攀钢建设初见曙光</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“新攀钢战略构想好不好，关键看成效”，对于挣扎在生死边缘的攀钢来说，及时堵住“出血点”、及时止损是活下来的关键。</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2017年，攀钢在消化了历史遗留问题基础上，盈利5亿元；2018年全年经营性盈利将创历史最好水平；持续亏损多年的攀长特，也连续3个月实现了经营性盈利……“攀钢活了！攀长特也活下来了！”攀长特干部职工激动地说，从前，他们有劲无处使，现在，他们恨不得一个人当两个人用。</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干部职工的力量来自哪里？来自国家深化供给侧结构性改革，为攀钢的发展创造了较好的外部环境，来自新攀钢建设与中央决策的精准对位。</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抢抓历史机遇，攀钢主动淘汰化解过剩产能、优化人力资源、发展战略性新兴产业，各项工作取得了历史性突破。先后平稳关停部分钢铁产线，2014年至今累计削减粗钢产能362万吨，占攀钢总产能26%；冗员难题得到根本解决，近4年劳动用工总量减幅达46.8%，劳动生产率增幅达到50.62%；荣获第24届全国企业管理现代化创新成果一等奖，入选国家行政学院改革成功案例，并在全国政协第70次双周协商座谈会上介绍经验；紧抓“互联网+”的时代大潮，大兴新业态、新模式，以积微物联为代表的新兴产业蓬勃发展。目前，积微物联已经成为西南最大钢铁电商、全国最大物流综合体，是国内为数不多的盈利电商。</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再高的山，再长的路，只要方向正确，锲而不舍前进，就能达到理想的彼岸。新攀钢建设面对的矛盾越多、难度越大，就越需要有“明知山有虎，偏向虎山行”的勇气。</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shd w:val="clear" w:fill="FFFFFF"/>
        </w:rPr>
      </w:pPr>
      <w:r>
        <w:rPr>
          <w:rFonts w:hint="eastAsia" w:asciiTheme="majorEastAsia" w:hAnsiTheme="majorEastAsia" w:eastAsiaTheme="majorEastAsia" w:cstheme="majorEastAsia"/>
          <w:i w:val="0"/>
          <w:caps w:val="0"/>
          <w:color w:val="000000"/>
          <w:spacing w:val="0"/>
          <w:sz w:val="32"/>
          <w:szCs w:val="32"/>
          <w:shd w:val="clear" w:fill="FFFFFF"/>
        </w:rPr>
        <w:t>围绕“绿水青山就是金山银山”这一科学论断，攀钢深入根植“环保达标就是企业生命线，环保能力就是企业竞争力，环保投入就是发展投入”的理念，2005年至今，攀钢环保治理累计投入170余亿元，先后实施了矿山、发电、焦炉、烧结、高炉、转炉、轧钢、钒钛产品等工序的废水、废气、固体废物、噪声治理项目近450余项，建成大气污染治理环保设施、废水处理设施等839台套。破解了攀西钒钛磁铁矿烧结烟气脱硫“世界性难题”，主要污染物排放量呈逐年下降趋势。今年1至11月，二氧化硫、氮氧化物、化学需氧量排放量分别较同期减排566吨、93吨、50吨，实现焦炉、高炉、转炉煤气全部回收利用；关停石灰石矿采场，走出一条精益环保之路， 还“阳光花城”一片碧水蓝天，为攀钢可持续性经营打下了坚实基础。</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3" w:firstLineChars="200"/>
        <w:textAlignment w:val="auto"/>
        <w:rPr>
          <w:rFonts w:hint="eastAsia" w:asciiTheme="majorEastAsia" w:hAnsiTheme="majorEastAsia" w:eastAsiaTheme="majorEastAsia" w:cstheme="majorEastAsia"/>
          <w:b/>
          <w:bCs/>
          <w:i w:val="0"/>
          <w:caps w:val="0"/>
          <w:color w:val="000000"/>
          <w:spacing w:val="0"/>
          <w:sz w:val="32"/>
          <w:szCs w:val="32"/>
        </w:rPr>
      </w:pPr>
      <w:r>
        <w:rPr>
          <w:rFonts w:hint="eastAsia" w:asciiTheme="majorEastAsia" w:hAnsiTheme="majorEastAsia" w:eastAsiaTheme="majorEastAsia" w:cstheme="majorEastAsia"/>
          <w:b/>
          <w:bCs/>
          <w:i w:val="0"/>
          <w:caps w:val="0"/>
          <w:color w:val="000000"/>
          <w:spacing w:val="0"/>
          <w:sz w:val="32"/>
          <w:szCs w:val="32"/>
          <w:shd w:val="clear" w:fill="FFFFFF"/>
        </w:rPr>
        <w:t>曙光照亮前行之路</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3"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b/>
          <w:bCs/>
          <w:i w:val="0"/>
          <w:caps w:val="0"/>
          <w:color w:val="000000"/>
          <w:spacing w:val="0"/>
          <w:sz w:val="32"/>
          <w:szCs w:val="32"/>
          <w:shd w:val="clear" w:fill="FFFFFF"/>
        </w:rPr>
        <w:t>加快建设全新攀钢</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新攀钢建设，没有现成答案，没有后退余地，没有徘徊理由。“攀钢依然没有彻底摆脱经营险境，依然没有完全康复，攀钢依然需要干部职工兢兢业业、艰苦奋斗，坚持到底、永不停息。”振聋发聩的号召，激励攀钢干部职工坚定不移推进新攀钢建设。</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2018年，PG5钢轨首次进入加拿大市场，攀钢再一次用卓越的产品和技术向世界证明攀钢钢轨的实力；310乙字钢拉裂缺陷率从20%以下降低到1%以下；以X80高级别管线钢万吨生产与应用为代表的产品通过中石油认证，用户使用降级率为1.54%，远低于其他中标钢厂4%的水平；高炉铁损由2017年的4.10%降低至2018年的3.51%，全年预计创效1000万元以上；钒钛价值创造力显著增强……</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每一次技术突破，每一项指标改善，都是干部职工汗水和智慧的结晶。今年春节，国外某大公司急需攀长特在15天内生产一批P20攀钢坯，要求产品铣边，并对硬度提出了苛刻要求。攀长特轧钢厂扁钢作业区干部全部到岗代班，严格监控每道工序。最终，比规定时间提前了3天交货。</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类似这样的事例，经常发生在攀钢人身上。他们将国家战略资源综合利用历史使命落实到工作中的每一件小事上，沉着面对压力，理性看待企业阶段性困难。</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“胜利不会向我走来，我必须自己走向胜利。”美国诗人穆尔的这句话，正是每名攀钢人的真实写照。在“践行共享理念 关爱一线员工”专项服务行动中，攀钢立足职工需求，解决吃饭、洗澡、如厕等实际困难，让员工享受来自企业的关怀和温暖，凝聚了攻坚克难正能量。</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发展无止境，改革无穷期。2018年岁末，攀钢对研究院进行全面改革，形成“三个特色研究院+四个国家级创新平台+四个专业化产业园”发展大格局，一场波澜壮阔的改革大潮，正引领攀西创新开发试验区向高质量发展。</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“坚持以供给侧结构性改革为主线”，前不久，中共中央政治局召开会议分析研究当前经济形势和经济工作时，再一次强调供给侧结构性改革的重要性。</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Theme="majorEastAsia" w:hAnsiTheme="majorEastAsia" w:eastAsiaTheme="majorEastAsia" w:cstheme="majorEastAsia"/>
          <w:i w:val="0"/>
          <w:caps w:val="0"/>
          <w:color w:val="000000"/>
          <w:spacing w:val="0"/>
          <w:sz w:val="32"/>
          <w:szCs w:val="32"/>
        </w:rPr>
      </w:pPr>
      <w:r>
        <w:rPr>
          <w:rFonts w:hint="eastAsia" w:asciiTheme="majorEastAsia" w:hAnsiTheme="majorEastAsia" w:eastAsiaTheme="majorEastAsia" w:cstheme="majorEastAsia"/>
          <w:i w:val="0"/>
          <w:caps w:val="0"/>
          <w:color w:val="000000"/>
          <w:spacing w:val="0"/>
          <w:sz w:val="32"/>
          <w:szCs w:val="32"/>
          <w:shd w:val="clear" w:fill="FFFFFF"/>
        </w:rPr>
        <w:t>回望发展，改革是决定攀钢命运的关键一招；凝视前方，改革只有进行时，没有完成时。</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default"/>
          <w:lang w:val="en-US" w:eastAsia="zh-CN"/>
        </w:rPr>
      </w:pPr>
      <w:r>
        <w:rPr>
          <w:rFonts w:hint="eastAsia" w:asciiTheme="majorEastAsia" w:hAnsiTheme="majorEastAsia" w:eastAsiaTheme="majorEastAsia" w:cstheme="majorEastAsia"/>
          <w:i w:val="0"/>
          <w:caps w:val="0"/>
          <w:color w:val="000000"/>
          <w:spacing w:val="0"/>
          <w:sz w:val="32"/>
          <w:szCs w:val="32"/>
          <w:shd w:val="clear" w:fill="FFFFFF"/>
        </w:rPr>
        <w:t>当前，攀钢正紧抓攀西国家级战略资源创新开发试验区成立的历史机遇，充分发挥龙头企业的核心作用，全面落实创新驱动发展，充分发挥钒钛资源综合利用国家重点实验室等国家级创新平台的作用，持续加大科技投入力度，全面提升钒钛产业的国际竞争力。积极优化产业布局，加快建设矿产资源创新开发产业园、钒绿色先进制造产业园、钛化工高新技术产业园、钛金属高端产业园等四大特色产业园区，全力打造引领创新发展的攀西钒钛产业新城。一家拥有新技术、新产品、新模式、新体制、新机制的企业，一家品德高尚而令社会尊重、客户尊重、员工尊重的企业，一家与员工荣辱与共、拥有共同价值观的企业，正是攀钢干部职工努力前进的方向。</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华文中宋">
    <w:altName w:val="宋体"/>
    <w:panose1 w:val="00000000000000000000"/>
    <w:charset w:val="86"/>
    <w:family w:val="auto"/>
    <w:pitch w:val="default"/>
    <w:sig w:usb0="00000000" w:usb1="00000000" w:usb2="00000010" w:usb3="00000000" w:csb0="0004009F"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381168E"/>
    <w:rsid w:val="1B6B302F"/>
    <w:rsid w:val="2381168E"/>
    <w:rsid w:val="32EF3BA0"/>
    <w:rsid w:val="3E7F0883"/>
    <w:rsid w:val="5FE62C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Layout w:type="fixed"/>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3.bin"/><Relationship Id="rId7" Type="http://schemas.openxmlformats.org/officeDocument/2006/relationships/image" Target="media/image2.emf"/><Relationship Id="rId6" Type="http://schemas.openxmlformats.org/officeDocument/2006/relationships/oleObject" Target="embeddings/oleObject2.bin"/><Relationship Id="rId5" Type="http://schemas.openxmlformats.org/officeDocument/2006/relationships/image" Target="media/image1.emf"/><Relationship Id="rId4" Type="http://schemas.openxmlformats.org/officeDocument/2006/relationships/oleObject" Target="embeddings/oleObject1.bin"/><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oleObject" Target="embeddings/oleObject8.bin"/><Relationship Id="rId17" Type="http://schemas.openxmlformats.org/officeDocument/2006/relationships/image" Target="media/image7.emf"/><Relationship Id="rId16" Type="http://schemas.openxmlformats.org/officeDocument/2006/relationships/oleObject" Target="embeddings/oleObject7.bin"/><Relationship Id="rId15" Type="http://schemas.openxmlformats.org/officeDocument/2006/relationships/image" Target="media/image6.emf"/><Relationship Id="rId14" Type="http://schemas.openxmlformats.org/officeDocument/2006/relationships/oleObject" Target="embeddings/oleObject6.bin"/><Relationship Id="rId13" Type="http://schemas.openxmlformats.org/officeDocument/2006/relationships/image" Target="media/image5.emf"/><Relationship Id="rId12" Type="http://schemas.openxmlformats.org/officeDocument/2006/relationships/oleObject" Target="embeddings/oleObject5.bin"/><Relationship Id="rId11" Type="http://schemas.openxmlformats.org/officeDocument/2006/relationships/image" Target="media/image4.e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Office_11.1.0.8597_F1E327BC-269C-435d-A152-05C5408002CA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2019-04-17T10:31:00Z</dcterms:created>
  <dc:creator>笑面人生</dc:creator>
  <cp:lastModifiedBy>笑面人生</cp:lastModifiedBy>
  <dcterms:modified xsi:type="dcterms:W3CDTF">2019-04-22T10:48:25Z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2052-11.1.0.8597</vt:lpwstr>
  </property>
</Properties>
</file>