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rPr>
          <w:rFonts w:ascii="仿宋_GB2312" w:hAnsi="仿宋_GB2312" w:eastAsia="仿宋_GB2312" w:cs="仿宋_GB2312"/>
          <w:sz w:val="36"/>
        </w:rPr>
      </w:pPr>
      <w:r>
        <w:rPr>
          <w:rFonts w:hint="eastAsia" w:ascii="仿宋_GB2312" w:hAnsi="仿宋_GB2312" w:eastAsia="仿宋_GB2312" w:cs="仿宋_GB2312"/>
          <w:sz w:val="36"/>
        </w:rPr>
        <w:t>中国企业报协会</w:t>
      </w:r>
      <w:r>
        <w:rPr>
          <w:rFonts w:ascii="仿宋_GB2312" w:hAnsi="仿宋_GB2312" w:eastAsia="仿宋_GB2312" w:cs="仿宋_GB2312"/>
          <w:sz w:val="36"/>
        </w:rPr>
        <w:t>2018</w:t>
      </w:r>
      <w:r>
        <w:rPr>
          <w:rFonts w:hint="eastAsia" w:ascii="仿宋_GB2312" w:hAnsi="仿宋_GB2312" w:eastAsia="仿宋_GB2312" w:cs="仿宋_GB2312"/>
          <w:sz w:val="36"/>
        </w:rPr>
        <w:t>年度新闻研讨作品推荐表</w:t>
      </w:r>
    </w:p>
    <w:tbl>
      <w:tblPr>
        <w:tblStyle w:val="3"/>
        <w:tblW w:w="94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vAlign w:val="center"/>
          </w:tcPr>
          <w:p>
            <w:pPr>
              <w:tabs>
                <w:tab w:val="left" w:pos="987"/>
              </w:tabs>
              <w:spacing w:line="380" w:lineRule="exact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ab/>
            </w: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重塑劳动纪律的威严</w:t>
            </w:r>
          </w:p>
        </w:tc>
        <w:tc>
          <w:tcPr>
            <w:tcW w:w="109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体裁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言论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pacing w:val="-12"/>
                <w:sz w:val="28"/>
              </w:rPr>
            </w:pPr>
            <w:r>
              <w:rPr>
                <w:rFonts w:hint="eastAsia" w:ascii="仿宋_GB2312" w:hAnsi="华文中宋" w:eastAsia="仿宋_GB2312"/>
                <w:spacing w:val="-12"/>
                <w:sz w:val="28"/>
              </w:rPr>
              <w:t>作</w:t>
            </w:r>
            <w:r>
              <w:rPr>
                <w:rFonts w:ascii="仿宋_GB2312" w:hAnsi="华文中宋" w:eastAsia="仿宋_GB2312"/>
                <w:spacing w:val="-12"/>
                <w:sz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pacing w:val="-12"/>
                <w:sz w:val="28"/>
              </w:rPr>
              <w:t>者</w:t>
            </w:r>
          </w:p>
        </w:tc>
        <w:tc>
          <w:tcPr>
            <w:tcW w:w="211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汪必奎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刊发日期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ind w:firstLine="560" w:firstLineChars="200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2018.11.30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vAlign w:val="center"/>
          </w:tcPr>
          <w:p>
            <w:pPr>
              <w:tabs>
                <w:tab w:val="left" w:pos="1422"/>
              </w:tabs>
              <w:jc w:val="left"/>
              <w:rPr>
                <w:rFonts w:hint="eastAsia" w:ascii="仿宋_GB2312" w:eastAsia="仿宋_GB2312"/>
                <w:color w:val="80808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808080"/>
                <w:szCs w:val="21"/>
                <w:lang w:eastAsia="zh-CN"/>
              </w:rPr>
              <w:tab/>
            </w:r>
            <w:r>
              <w:rPr>
                <w:rFonts w:hint="eastAsia" w:ascii="仿宋_GB2312" w:eastAsia="仿宋_GB2312"/>
                <w:color w:val="808080"/>
                <w:szCs w:val="21"/>
                <w:lang w:eastAsia="zh-CN"/>
              </w:rPr>
              <w:t>一版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hint="eastAsia" w:ascii="仿宋_GB2312" w:eastAsia="仿宋_GB2312"/>
                <w:color w:val="808080"/>
                <w:sz w:val="28"/>
                <w:szCs w:val="28"/>
              </w:rPr>
              <w:t>字数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80808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808080"/>
                <w:szCs w:val="21"/>
                <w:lang w:val="en-US" w:eastAsia="zh-CN"/>
              </w:rPr>
              <w:t>1073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单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6"/>
            <w:vAlign w:val="center"/>
          </w:tcPr>
          <w:p>
            <w:pPr>
              <w:tabs>
                <w:tab w:val="left" w:pos="1092"/>
              </w:tabs>
              <w:jc w:val="left"/>
              <w:rPr>
                <w:rFonts w:hint="eastAsia" w:ascii="仿宋_GB2312" w:eastAsia="仿宋_GB2312"/>
                <w:color w:val="80808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808080"/>
                <w:szCs w:val="21"/>
                <w:lang w:eastAsia="zh-CN"/>
              </w:rPr>
              <w:tab/>
            </w:r>
            <w:r>
              <w:rPr>
                <w:rFonts w:hint="eastAsia" w:ascii="仿宋_GB2312" w:eastAsia="仿宋_GB2312"/>
                <w:color w:val="808080"/>
                <w:szCs w:val="21"/>
                <w:lang w:eastAsia="zh-CN"/>
              </w:rPr>
              <w:t>攀钢日报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8" w:hRule="exact"/>
          <w:jc w:val="center"/>
        </w:trPr>
        <w:tc>
          <w:tcPr>
            <w:tcW w:w="119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推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荐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理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由</w:t>
            </w:r>
          </w:p>
          <w:p>
            <w:pPr>
              <w:spacing w:line="320" w:lineRule="exact"/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tabs>
                <w:tab w:val="left" w:pos="2662"/>
              </w:tabs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2018年11月26日，攀钢矿业公司攀枝花铁矿发生一起工亡事故，从事后调查分析，这本是一起不该发生的事故。作者借此事件，分析了劳动纪律管理松弛存在的多种现象，并从正反两个维度阐明了重塑劳动纪律威严的重要性和严肃性。该言论既观点鲜明，语言又接地气，是一篇可读性与警示教育相得益彰的评论性文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3" w:hRule="exact"/>
          <w:jc w:val="center"/>
        </w:trPr>
        <w:tc>
          <w:tcPr>
            <w:tcW w:w="9417" w:type="dxa"/>
            <w:gridSpan w:val="9"/>
          </w:tcPr>
          <w:p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  <w:r>
              <w:rPr>
                <w:rFonts w:ascii="仿宋_GB2312" w:hAnsi="华文中宋" w:eastAsia="仿宋_GB2312"/>
                <w:spacing w:val="-2"/>
                <w:sz w:val="28"/>
              </w:rPr>
              <w:tab/>
            </w: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pacing w:val="-2"/>
                <w:sz w:val="28"/>
              </w:rPr>
              <w:t>总编签名：</w:t>
            </w:r>
            <w:r>
              <w:rPr>
                <w:rFonts w:ascii="仿宋_GB2312" w:hAnsi="华文中宋" w:eastAsia="仿宋_GB2312"/>
                <w:spacing w:val="-2"/>
                <w:sz w:val="28"/>
              </w:rPr>
              <w:tab/>
            </w:r>
            <w:r>
              <w:rPr>
                <w:rFonts w:hint="eastAsia" w:ascii="仿宋_GB2312" w:hAnsi="华文中宋" w:eastAsia="仿宋_GB2312"/>
                <w:sz w:val="28"/>
              </w:rPr>
              <w:t>（盖单位公章）</w:t>
            </w:r>
          </w:p>
          <w:p>
            <w:pPr>
              <w:tabs>
                <w:tab w:val="left" w:pos="6746"/>
              </w:tabs>
              <w:spacing w:line="420" w:lineRule="exact"/>
              <w:ind w:firstLine="6440" w:firstLineChars="23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hAnsi="华文中宋" w:eastAsia="仿宋_GB2312"/>
                <w:sz w:val="28"/>
              </w:rPr>
              <w:t>2019</w:t>
            </w:r>
            <w:r>
              <w:rPr>
                <w:rFonts w:hint="eastAsia" w:ascii="仿宋_GB2312" w:hAnsi="华文中宋" w:eastAsia="仿宋_GB2312"/>
                <w:sz w:val="28"/>
              </w:rPr>
              <w:t>年</w:t>
            </w: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4</w:t>
            </w:r>
            <w:r>
              <w:rPr>
                <w:rFonts w:hint="eastAsia" w:ascii="仿宋_GB2312" w:hAnsi="华文中宋" w:eastAsia="仿宋_GB2312"/>
                <w:sz w:val="28"/>
              </w:rPr>
              <w:t>月</w:t>
            </w: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23</w:t>
            </w:r>
            <w:r>
              <w:rPr>
                <w:rFonts w:hint="eastAsia" w:ascii="仿宋_GB2312" w:hAnsi="华文中宋" w:eastAsia="仿宋_GB2312"/>
                <w:sz w:val="28"/>
              </w:rPr>
              <w:t>日</w:t>
            </w:r>
          </w:p>
          <w:p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>
            <w:pPr>
              <w:spacing w:line="420" w:lineRule="exact"/>
              <w:ind w:firstLine="2240" w:firstLineChars="800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420" w:lineRule="exact"/>
              <w:ind w:firstLine="2100" w:firstLineChars="750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王文锋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hint="default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13982394143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hint="default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pgrb99168@163.com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地</w:t>
            </w:r>
            <w:r>
              <w:rPr>
                <w:rFonts w:ascii="仿宋_GB2312" w:hAnsi="华文中宋" w:eastAsia="仿宋_GB2312"/>
                <w:sz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</w:rPr>
              <w:t>址</w:t>
            </w:r>
          </w:p>
        </w:tc>
        <w:tc>
          <w:tcPr>
            <w:tcW w:w="7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hint="default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攀枝花市东区向阳村原农贸楼四楼</w:t>
            </w:r>
          </w:p>
        </w:tc>
      </w:tr>
    </w:tbl>
    <w:p>
      <w:pPr>
        <w:ind w:firstLine="3520" w:firstLineChars="11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附作品：</w:t>
      </w:r>
    </w:p>
    <w:p>
      <w:pPr>
        <w:ind w:firstLine="3520" w:firstLineChars="1100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333333"/>
          <w:spacing w:val="0"/>
          <w:sz w:val="44"/>
          <w:szCs w:val="44"/>
          <w:shd w:val="clear" w:fill="FFFFFF"/>
        </w:rPr>
        <w:t>重塑劳动纪律的威严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本报评论员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outlineLvl w:val="9"/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</w:rPr>
        <w:t>有铁一般的纪律，才会有铁一般的队伍；有铁一般的队伍，才能打硬仗、打胜仗。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outlineLvl w:val="9"/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</w:rPr>
        <w:t>近几年，攀钢虽借助包括现代科技手段等方式强化劳动纪律管理，但不严不实的现象仍然存在。今天，集团公司出台进一步加强劳动纪律管理相关文件，既事出有因，更是攀钢吹响重塑劳动纪律威严的号角。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outlineLvl w:val="9"/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</w:rPr>
        <w:t>11月26日，矿业公司攀枝花铁矿发生工亡事故。事故背后，暴露的是班组安全管理，尤其是劳动纪律管理松弛这一明显“短板”。这一血的教训告诉我们，劳动纪律必须抓实抓细、从严从紧，重塑劳动纪律的重要性和严肃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outlineLvl w:val="9"/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</w:rPr>
        <w:t>不以规矩，无以成方圆。劳动纪律是我们每名干部职工必须遵循的基本规矩，加强劳动纪律管理更是做好安全、环保、质量、设备等方面管理工作的重要基础和坚实保障。但眼下，在我们的干部职工队伍和少数单位中，依然存在纪律意识淡漠、纪律松弛、管理不严的问题。有的领导干部不执行公司规章制度，外出不请假；有的职工劳动纪律松懈，上班迟到早退；有的工作时间玩手机、吃零食；有的单位劳动纪律管理不实不细、执纪不严。这些现象如果任其发展，就有可能产生“破窗效应”，一个单位就会像一盘散沙，毫无凝聚之力，更奢谈战斗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outlineLvl w:val="9"/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</w:rPr>
        <w:t>群雁高飞，头雁引领。领导干部是头雁，守纪律、讲规矩是无条件的。也只有这样，才能正其身、严队伍。各级领导干部要提高站位，模范执行集团公司的规章制度，切实做到严格自律、以身作则、以上率下；要刚性强化管理要求、教育监督，严格落实相关制度，坚决制止违纪行为，用自己的言行去影响和带动周围的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outlineLvl w:val="9"/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</w:rPr>
        <w:t>前车之鉴，后车之师。当前，攀钢安全生产形势极为严峻，新攀钢建设进入关键时刻，重塑劳动纪律的威严显得尤其紧迫和重要。各单位要深刻汲取“11·26”事故教训，举一反三，查漏补缺，建立更为完善的规章制度，尤其要针对连续作业、倒班、偏远零散岗位以及高强度作业和特殊作业岗位特点，细化完善管理规定，做到不留死角、严管严查。要采取有效形式，强化宣传教育，促使干部职工从思想上认识到遵守劳动纪律的重要性和必要性，从行为规范上做到遵守劳动纪律的自觉性和能动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outlineLvl w:val="9"/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</w:rPr>
        <w:t>重塑劳动纪律的威严，就是要动真碰硬，绝不能让制度成为“纸老虎”“稻草人”。对串岗、脱岗等各种违反劳动纪律的行为，必须做到有纪必执、有违必查，做到纪律面前人人平等、遵守纪律没有特权、执行纪律没有例外，从而让全体干部职工敬畏纪律、遵守纪律，形成人人守纪律、人人讲规矩的良好风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outlineLvl w:val="9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</w:rPr>
        <w:t>有令则行，有禁则止，是最起码的工作纪律要求。重塑劳动纪律的威严，是对全体攀钢人真正的关爱；重塑劳动纪律的威严，每一个攀钢人的力量才能汇集到建设新攀钢的洪流中，激荡澎湃，奔涌向前！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1168E"/>
    <w:rsid w:val="17F6592E"/>
    <w:rsid w:val="2381168E"/>
    <w:rsid w:val="2E45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2019-04-17T10:31:00Z</dcterms:created>
  <dc:creator>笑面人生</dc:creator>
  <cp:lastModifiedBy>笑面人生</cp:lastModifiedBy>
  <dcterms:modified xsi:type="dcterms:W3CDTF">2019-04-22T08:28:06Z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