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jc w:val="center"/>
        <w:rPr>
          <w:rFonts w:hint="eastAsia" w:ascii="仿宋_GB2312" w:hAnsi="仿宋_GB2312" w:eastAsia="仿宋_GB2312" w:cs="仿宋_GB2312"/>
          <w:b/>
          <w:bCs/>
          <w:sz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</w:rPr>
        <w:t>中国企业报协会</w:t>
      </w:r>
      <w:r>
        <w:rPr>
          <w:rFonts w:ascii="仿宋_GB2312" w:hAnsi="仿宋_GB2312" w:eastAsia="仿宋_GB2312" w:cs="仿宋_GB2312"/>
          <w:b/>
          <w:bCs/>
          <w:sz w:val="36"/>
        </w:rPr>
        <w:t>2018</w:t>
      </w:r>
      <w:r>
        <w:rPr>
          <w:rFonts w:hint="eastAsia" w:ascii="仿宋_GB2312" w:hAnsi="仿宋_GB2312" w:eastAsia="仿宋_GB2312" w:cs="仿宋_GB2312"/>
          <w:b/>
          <w:bCs/>
          <w:sz w:val="36"/>
        </w:rPr>
        <w:t>年度新闻研讨作品推荐表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360" w:firstLineChars="100"/>
        <w:jc w:val="center"/>
        <w:textAlignment w:val="auto"/>
        <w:rPr>
          <w:rFonts w:hint="eastAsia" w:ascii="仿宋_GB2312" w:hAnsi="仿宋_GB2312" w:eastAsia="仿宋_GB2312" w:cs="仿宋_GB2312"/>
          <w:sz w:val="36"/>
        </w:rPr>
      </w:pPr>
    </w:p>
    <w:tbl>
      <w:tblPr>
        <w:tblStyle w:val="2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当“栾鸟”邂逅“铁龙”</w:t>
            </w:r>
          </w:p>
        </w:tc>
        <w:tc>
          <w:tcPr>
            <w:tcW w:w="109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pacing w:val="-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作</w:t>
            </w:r>
            <w:r>
              <w:rPr>
                <w:rFonts w:ascii="仿宋_GB2312" w:hAnsi="华文中宋" w:eastAsia="仿宋_GB2312"/>
                <w:spacing w:val="-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张德洪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ind w:firstLine="560" w:firstLineChars="200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2018.4.24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一版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1300字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单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中原铁道报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4" w:hRule="exact"/>
          <w:jc w:val="center"/>
        </w:trPr>
        <w:tc>
          <w:tcPr>
            <w:tcW w:w="119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由</w:t>
            </w:r>
          </w:p>
          <w:p>
            <w:pPr>
              <w:spacing w:line="32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tabs>
                <w:tab w:val="left" w:pos="2662"/>
              </w:tabs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脱贫攻坚是党的十九大确定的“三大攻坚战”之一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作为栾川县脱贫帮带共建单位，郑州局集团公司依托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行业优势、注入大量资金、委派扶贫干部，采取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“旅游+扶贫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”的方式，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改善村民居住环境，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提升当地旅游品质，扩大宣传影响，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使久在深闺的栾川山水焕发出了光彩，让大山里的百姓走上了稳定脱贫的致富路。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文章标题生动传神，全文语言朴实明快，从不同角度阐述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了旅游扶贫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的方式方法和突出效果，可谓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脱贫攻坚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路上的现实样板，可资可鉴。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这篇文章刊登在《中原铁道报》1版，被评为“创优作品”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以图文并茂的形式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在新媒体平台进行了推广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在铁路系统和社会各界反响强烈，进一步激发了铁路人扶贫帮困的使命和担当,同时也吸引了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更多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游客走进大山。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2018年底，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栾川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县被生态环境部命名为全国“绿水青山就是金山银山”实践创新基地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，在河南省实现了零的突破。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令人欣喜的是，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县在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年元月份顺利通过脱贫摘帽初审。</w:t>
            </w:r>
          </w:p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exact"/>
          <w:jc w:val="center"/>
        </w:trPr>
        <w:tc>
          <w:tcPr>
            <w:tcW w:w="9417" w:type="dxa"/>
            <w:gridSpan w:val="9"/>
          </w:tcPr>
          <w:p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2"/>
                <w:sz w:val="28"/>
              </w:rPr>
              <w:t>总编签名：</w:t>
            </w: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  <w:r>
              <w:rPr>
                <w:rFonts w:hint="eastAsia" w:ascii="仿宋_GB2312" w:hAnsi="华文中宋" w:eastAsia="仿宋_GB2312"/>
                <w:sz w:val="28"/>
              </w:rPr>
              <w:t>（盖单位公章）</w:t>
            </w:r>
          </w:p>
          <w:p>
            <w:pPr>
              <w:tabs>
                <w:tab w:val="left" w:pos="6746"/>
              </w:tabs>
              <w:spacing w:line="420" w:lineRule="exact"/>
              <w:ind w:firstLine="6440" w:firstLineChars="23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hAnsi="华文中宋" w:eastAsia="仿宋_GB2312"/>
                <w:sz w:val="28"/>
              </w:rPr>
              <w:t>2019</w:t>
            </w:r>
            <w:r>
              <w:rPr>
                <w:rFonts w:hint="eastAsia" w:ascii="仿宋_GB2312" w:hAnsi="华文中宋" w:eastAsia="仿宋_GB2312"/>
                <w:sz w:val="28"/>
              </w:rPr>
              <w:t>年</w:t>
            </w:r>
            <w:r>
              <w:rPr>
                <w:rFonts w:ascii="仿宋_GB2312" w:hAnsi="华文中宋" w:eastAsia="仿宋_GB2312"/>
                <w:sz w:val="28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</w:rPr>
              <w:t>月</w:t>
            </w:r>
            <w:r>
              <w:rPr>
                <w:rFonts w:ascii="仿宋_GB2312" w:hAnsi="华文中宋" w:eastAsia="仿宋_GB2312"/>
                <w:sz w:val="28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</w:rPr>
              <w:t>日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>
            <w:pPr>
              <w:spacing w:line="420" w:lineRule="exact"/>
              <w:ind w:firstLine="2240" w:firstLineChars="800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420" w:lineRule="exact"/>
              <w:ind w:firstLine="2100" w:firstLineChars="75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张德洪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13938250370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786272768@qq.com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地</w:t>
            </w:r>
            <w:r>
              <w:rPr>
                <w:rFonts w:ascii="仿宋_GB2312" w:hAnsi="华文中宋" w:eastAsia="仿宋_GB23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郑州市陇海中路106号 郑州局集团公司融媒体中心</w:t>
            </w:r>
          </w:p>
        </w:tc>
      </w:tr>
    </w:tbl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</w:rPr>
        <w:t>当“栾鸟”邂逅“铁龙”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——集团公司实施旅游精准扶贫助推栾川奔小康纪实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 xml:space="preserve">    栾川古称鸾州，因远古时期有形似凤凰的鸾鸟在此栖息而得名。近一个时期，前来栾川旅游观光的游客纷沓而至，仅清明小长假三天就接待游客15.8万人次，旅游综合收入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过亿元，创历年新高。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是什么原因让这个四面环山，经济发展滞后，全国扶贫开发重点县如此受到青睐？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高铁上关于栾川的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风光介绍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随处可见，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我心中时常涌动着一股暖流，感到异常兴奋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，衷心感谢铁路人的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奉献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河南省政府政策研究室派驻栾川县协心村第一书记夏峰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深有感触地说，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栾川旅游资源丰富，但久在深闺无人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知，郑州局集团公司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和栾川“联姻”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依托铁路行业资源，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大力开发旅游扶贫项目，才使这里的山水焕发出了光彩。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实施乡村振兴战略，是党的十九大作出的重大决策部署。为实现栾川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2018年底脱贫摘帽目标，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集团公司领导高度重视，相关处室、单位负责人上下齐动、合力共为，多次奔赴栾川实地调研，与</w:t>
      </w:r>
      <w:r>
        <w:rPr>
          <w:rFonts w:hint="eastAsia" w:ascii="仿宋_GB2312" w:hAnsi="仿宋_GB2312" w:eastAsia="仿宋_GB2312" w:cs="仿宋_GB2312"/>
          <w:i w:val="0"/>
          <w:color w:val="auto"/>
          <w:sz w:val="24"/>
          <w:szCs w:val="24"/>
          <w:highlight w:val="none"/>
          <w:lang w:eastAsia="zh-CN"/>
        </w:rPr>
        <w:t>栾川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县委、县政府进行会商，决定今年以旅游扶贫产业为引领，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进一步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扩大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“奇景栾川”旅游品牌的知名度和影响力，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真正把栾川的绿水青山变成金山银山。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峰林仙境老君山、地下宫殿鸡冠洞、水乡竹韵重渡沟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……在中原开往全国各地，途径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33个大中城市的多趟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“奇境栾川号”高铁列车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上，随处可见栾川的奇绝景观。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中原铁道文化传媒公司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充分利用海报、画册、电子广播、车载视频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等资源，将栾川的“山水奇景”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装载打包运往全国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。今年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2月底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，该公司还</w:t>
      </w:r>
      <w:r>
        <w:rPr>
          <w:rFonts w:hint="eastAsia" w:ascii="仿宋_GB2312" w:hAnsi="仿宋_GB2312" w:eastAsia="仿宋_GB2312" w:cs="仿宋_GB2312"/>
          <w:i w:val="0"/>
          <w:color w:val="auto"/>
          <w:sz w:val="24"/>
          <w:szCs w:val="24"/>
          <w:highlight w:val="none"/>
          <w:lang w:eastAsia="zh-CN"/>
        </w:rPr>
        <w:t>在上海局集团公司管内车站、本地酒店，及</w:t>
      </w:r>
      <w:r>
        <w:rPr>
          <w:rFonts w:hint="eastAsia" w:ascii="仿宋_GB2312" w:hAnsi="仿宋_GB2312" w:eastAsia="仿宋_GB2312" w:cs="仿宋_GB2312"/>
          <w:i w:val="0"/>
          <w:color w:val="auto"/>
          <w:sz w:val="24"/>
          <w:szCs w:val="24"/>
          <w:highlight w:val="none"/>
          <w:lang w:val="en-US" w:eastAsia="zh-CN"/>
        </w:rPr>
        <w:t>690组高铁列车上，免费投放15万册</w:t>
      </w:r>
      <w:r>
        <w:rPr>
          <w:rFonts w:hint="eastAsia" w:ascii="仿宋_GB2312" w:hAnsi="仿宋_GB2312" w:eastAsia="仿宋_GB2312" w:cs="仿宋_GB2312"/>
          <w:i w:val="0"/>
          <w:color w:val="auto"/>
          <w:sz w:val="24"/>
          <w:szCs w:val="24"/>
          <w:highlight w:val="none"/>
          <w:lang w:eastAsia="zh-CN"/>
        </w:rPr>
        <w:t>印有栾川风光介绍的《上海铁道》杂志，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吸引了众多关注的目光。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无论是登上飞驰的高铁列车，还是来到河南境内的各大火车站，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旅客随时都能看到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宣传“奇境栾川”的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海报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和大型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公益广告。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集团公司在宣传资源异常紧张的情况下，想方设法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在郑州东站三层候车大厅，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提供两处20余平方米的公益广告位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借助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洛阳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车站升级改造、特事特办，提供10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处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栾川旅游推介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广告位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在洛阳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龙门高铁站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8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处公益广告位，以栾川各大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景点为主题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进行宣传推介。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仅三个车站的公益广告，就为栾川县节约旅游推介资金540余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3月16日，“花开洛阳·奇境栾川”旅游产品发布会在上海举办，洛阳姑娘身穿旗袍，头戴老君金顶，与上海东方明珠塔同框PK，展示今古奇观之美！与此同时，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中原铁道旅游集团参会代表鼎力为家乡代言，精准推广”奇境栾川“旅游品牌，与上海铁道旅游集团签订协议，共同合作开发长三角地区入栾旅游专列；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与栾川县签订2018年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旅游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专列合同，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计划开行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8趟省外旅游专列，把更多的游客邀请到栾川来。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为助力栾川打赢脱贫攻坚战，集团公司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相关部门和单位把扶贫工作摆在突出重要位置，利用报纸、电视、官方微博等媒体扩大宣传，刊登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栾川百姓奔小康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的相关文章，介绍栾川县的旅游风光及对铁路职工的优惠政策；在党政工团召开的各种会议上，介绍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重渡沟马海明纪念园、潭头河南大学抗战纪念馆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的历史内涵，宣传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栾川县党群服务中心先进典型群体事迹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，提醒干部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职工心系栾川、关注栾川、走进栾川、拥抱栾川。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一家一家看，都是精准扶贫，精准到户。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4月16日傍晚，集团公司委派到</w:t>
      </w:r>
      <w:r>
        <w:rPr>
          <w:rFonts w:hint="eastAsia" w:ascii="仿宋_GB2312" w:hAnsi="仿宋_GB2312" w:eastAsia="仿宋_GB2312" w:cs="仿宋_GB2312"/>
          <w:i w:val="0"/>
          <w:color w:val="auto"/>
          <w:sz w:val="24"/>
          <w:szCs w:val="24"/>
          <w:highlight w:val="none"/>
          <w:lang w:val="en-US" w:eastAsia="zh-CN"/>
        </w:rPr>
        <w:t>栾川县的扶贫干部、挂职副县长周胜展给记者打来电话，整整一天，他都在栾川县庙子镇、重渡沟现场调研，腿都跑软了，但看到村民的日子过得越来越红火，自己感到很幸福。他说，铁路今年已为栾川县直接投入旅游帮扶资金200万元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助力三川镇发展“隐心谷”休闲农业乡村旅游建设，帮助潭头镇大王庙村修缮特色民俗古村落，不仅提升了当地旅游品质、改善了村民居住环境，还将使130多个贫困户稳定脱贫。（记者 张德洪）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701" w:right="1134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82C5E"/>
    <w:rsid w:val="112F5AC1"/>
    <w:rsid w:val="1CBF5438"/>
    <w:rsid w:val="20296E78"/>
    <w:rsid w:val="21FA7DF0"/>
    <w:rsid w:val="24DB13A9"/>
    <w:rsid w:val="2A111936"/>
    <w:rsid w:val="2B205C58"/>
    <w:rsid w:val="34594070"/>
    <w:rsid w:val="37031A51"/>
    <w:rsid w:val="38811DC0"/>
    <w:rsid w:val="3E020A6D"/>
    <w:rsid w:val="406A2160"/>
    <w:rsid w:val="420D2B91"/>
    <w:rsid w:val="44CA64F7"/>
    <w:rsid w:val="508A09C0"/>
    <w:rsid w:val="54E559DC"/>
    <w:rsid w:val="552541E3"/>
    <w:rsid w:val="5E0F2C34"/>
    <w:rsid w:val="614876AA"/>
    <w:rsid w:val="61842F2E"/>
    <w:rsid w:val="650C43A9"/>
    <w:rsid w:val="68710D2F"/>
    <w:rsid w:val="6E666DBD"/>
    <w:rsid w:val="72B10D9F"/>
    <w:rsid w:val="7E7E3401"/>
    <w:rsid w:val="7ED27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2018-03-12T08:41:00Z</cp:lastPrinted>
  <dcterms:modified xsi:type="dcterms:W3CDTF">2019-04-25T00:33:27Z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