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楷体" w:hAnsi="华文楷体" w:eastAsia="华文楷体" w:cs="华文楷体"/>
          <w:bCs/>
          <w:color w:val="000000"/>
          <w:sz w:val="32"/>
          <w:szCs w:val="32"/>
        </w:rPr>
      </w:pPr>
      <w:r>
        <w:rPr>
          <w:rFonts w:hint="eastAsia" w:ascii="华文楷体" w:hAnsi="华文楷体" w:eastAsia="华文楷体" w:cs="华文楷体"/>
          <w:bCs/>
          <w:color w:val="000000"/>
          <w:sz w:val="32"/>
          <w:szCs w:val="32"/>
        </w:rPr>
        <w:t>附件</w:t>
      </w:r>
    </w:p>
    <w:p>
      <w:pPr>
        <w:ind w:firstLine="360" w:firstLineChars="100"/>
        <w:rPr>
          <w:rFonts w:ascii="仿宋_GB2312" w:hAnsi="仿宋_GB2312" w:eastAsia="仿宋_GB2312" w:cs="仿宋_GB2312"/>
          <w:sz w:val="36"/>
        </w:rPr>
      </w:pPr>
      <w:r>
        <w:rPr>
          <w:rFonts w:hint="eastAsia" w:ascii="仿宋_GB2312" w:hAnsi="仿宋_GB2312" w:eastAsia="仿宋_GB2312" w:cs="仿宋_GB2312"/>
          <w:sz w:val="36"/>
        </w:rPr>
        <w:t>中国企业报协会</w:t>
      </w:r>
      <w:r>
        <w:rPr>
          <w:rFonts w:ascii="仿宋_GB2312" w:hAnsi="仿宋_GB2312" w:eastAsia="仿宋_GB2312" w:cs="仿宋_GB2312"/>
          <w:sz w:val="36"/>
        </w:rPr>
        <w:t>2018</w:t>
      </w:r>
      <w:r>
        <w:rPr>
          <w:rFonts w:hint="eastAsia" w:ascii="仿宋_GB2312" w:hAnsi="仿宋_GB2312" w:eastAsia="仿宋_GB2312" w:cs="仿宋_GB2312"/>
          <w:sz w:val="36"/>
        </w:rPr>
        <w:t>年度新闻研讨作品推荐表</w:t>
      </w:r>
    </w:p>
    <w:tbl>
      <w:tblPr>
        <w:tblStyle w:val="3"/>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51"/>
        <w:gridCol w:w="379"/>
        <w:gridCol w:w="1464"/>
        <w:gridCol w:w="878"/>
        <w:gridCol w:w="613"/>
        <w:gridCol w:w="1486"/>
        <w:gridCol w:w="1094"/>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829" w:type="dxa"/>
            <w:gridSpan w:val="3"/>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作品标题</w:t>
            </w:r>
          </w:p>
        </w:tc>
        <w:tc>
          <w:tcPr>
            <w:tcW w:w="4441" w:type="dxa"/>
            <w:gridSpan w:val="4"/>
            <w:vAlign w:val="center"/>
          </w:tcPr>
          <w:p>
            <w:pPr>
              <w:spacing w:line="380" w:lineRule="exact"/>
              <w:rPr>
                <w:rFonts w:ascii="仿宋_GB2312" w:hAnsi="华文中宋" w:eastAsia="仿宋_GB2312"/>
                <w:sz w:val="28"/>
              </w:rPr>
            </w:pPr>
            <w:r>
              <w:rPr>
                <w:rFonts w:hint="eastAsia" w:ascii="仿宋_GB2312" w:hAnsi="华文中宋" w:eastAsia="仿宋_GB2312"/>
                <w:sz w:val="28"/>
                <w:lang w:eastAsia="zh-CN"/>
              </w:rPr>
              <w:t>机关干部是作风建设的“关键少数”</w:t>
            </w:r>
          </w:p>
        </w:tc>
        <w:tc>
          <w:tcPr>
            <w:tcW w:w="1094" w:type="dxa"/>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体裁</w:t>
            </w:r>
          </w:p>
        </w:tc>
        <w:tc>
          <w:tcPr>
            <w:tcW w:w="2053" w:type="dxa"/>
            <w:vAlign w:val="center"/>
          </w:tcPr>
          <w:p>
            <w:pPr>
              <w:rPr>
                <w:rFonts w:hint="eastAsia" w:ascii="仿宋_GB2312" w:eastAsia="仿宋_GB2312"/>
                <w:sz w:val="28"/>
                <w:lang w:eastAsia="zh-CN"/>
              </w:rPr>
            </w:pPr>
            <w:r>
              <w:rPr>
                <w:rFonts w:hint="eastAsia" w:ascii="仿宋_GB2312" w:eastAsia="仿宋_GB2312"/>
                <w:sz w:val="28"/>
                <w:lang w:eastAsia="zh-CN"/>
              </w:rPr>
              <w:t>言论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829" w:type="dxa"/>
            <w:gridSpan w:val="3"/>
            <w:vAlign w:val="center"/>
          </w:tcPr>
          <w:p>
            <w:pPr>
              <w:spacing w:line="320" w:lineRule="exact"/>
              <w:jc w:val="center"/>
              <w:rPr>
                <w:rFonts w:ascii="仿宋_GB2312" w:hAnsi="华文中宋" w:eastAsia="仿宋_GB2312"/>
                <w:spacing w:val="-12"/>
                <w:sz w:val="28"/>
              </w:rPr>
            </w:pPr>
            <w:r>
              <w:rPr>
                <w:rFonts w:hint="eastAsia" w:ascii="仿宋_GB2312" w:hAnsi="华文中宋" w:eastAsia="仿宋_GB2312"/>
                <w:spacing w:val="-12"/>
                <w:sz w:val="28"/>
              </w:rPr>
              <w:t>作</w:t>
            </w:r>
            <w:r>
              <w:rPr>
                <w:rFonts w:ascii="仿宋_GB2312" w:hAnsi="华文中宋" w:eastAsia="仿宋_GB2312"/>
                <w:spacing w:val="-12"/>
                <w:sz w:val="28"/>
              </w:rPr>
              <w:t xml:space="preserve"> </w:t>
            </w:r>
            <w:r>
              <w:rPr>
                <w:rFonts w:hint="eastAsia" w:ascii="仿宋_GB2312" w:hAnsi="华文中宋" w:eastAsia="仿宋_GB2312"/>
                <w:spacing w:val="-12"/>
                <w:sz w:val="28"/>
              </w:rPr>
              <w:t>者</w:t>
            </w:r>
          </w:p>
        </w:tc>
        <w:tc>
          <w:tcPr>
            <w:tcW w:w="2342" w:type="dxa"/>
            <w:gridSpan w:val="2"/>
            <w:vAlign w:val="center"/>
          </w:tcPr>
          <w:p>
            <w:pPr>
              <w:jc w:val="center"/>
              <w:rPr>
                <w:rFonts w:hint="eastAsia" w:ascii="仿宋_GB2312" w:hAnsi="华文中宋" w:eastAsia="仿宋_GB2312"/>
                <w:sz w:val="28"/>
                <w:lang w:eastAsia="zh-CN"/>
              </w:rPr>
            </w:pPr>
            <w:r>
              <w:rPr>
                <w:rFonts w:hint="eastAsia" w:ascii="仿宋_GB2312" w:hAnsi="华文中宋" w:eastAsia="仿宋_GB2312"/>
                <w:sz w:val="28"/>
                <w:lang w:eastAsia="zh-CN"/>
              </w:rPr>
              <w:t>汪慧丰</w:t>
            </w:r>
          </w:p>
        </w:tc>
        <w:tc>
          <w:tcPr>
            <w:tcW w:w="2099" w:type="dxa"/>
            <w:gridSpan w:val="2"/>
            <w:vAlign w:val="center"/>
          </w:tcPr>
          <w:p>
            <w:pPr>
              <w:jc w:val="center"/>
              <w:rPr>
                <w:rFonts w:ascii="仿宋_GB2312" w:hAnsi="华文中宋" w:eastAsia="仿宋_GB2312"/>
                <w:sz w:val="28"/>
              </w:rPr>
            </w:pPr>
            <w:r>
              <w:rPr>
                <w:rFonts w:hint="eastAsia" w:ascii="仿宋_GB2312" w:eastAsia="仿宋_GB2312"/>
                <w:bCs/>
                <w:sz w:val="28"/>
              </w:rPr>
              <w:t>刊发日期</w:t>
            </w:r>
          </w:p>
        </w:tc>
        <w:tc>
          <w:tcPr>
            <w:tcW w:w="3147" w:type="dxa"/>
            <w:gridSpan w:val="2"/>
            <w:vAlign w:val="center"/>
          </w:tcPr>
          <w:p>
            <w:pPr>
              <w:ind w:firstLine="560" w:firstLineChars="200"/>
              <w:rPr>
                <w:rFonts w:hint="eastAsia" w:ascii="仿宋_GB2312" w:eastAsia="仿宋_GB2312"/>
                <w:sz w:val="28"/>
                <w:lang w:val="en-US" w:eastAsia="zh-CN"/>
              </w:rPr>
            </w:pPr>
            <w:r>
              <w:rPr>
                <w:rFonts w:hint="eastAsia" w:ascii="仿宋_GB2312" w:eastAsia="仿宋_GB2312"/>
                <w:sz w:val="28"/>
                <w:lang w:val="en-US" w:eastAsia="zh-CN"/>
              </w:rPr>
              <w:t>2018.6.7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829" w:type="dxa"/>
            <w:gridSpan w:val="3"/>
            <w:vAlign w:val="center"/>
          </w:tcPr>
          <w:p>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刊播版面名称</w:t>
            </w:r>
          </w:p>
        </w:tc>
        <w:tc>
          <w:tcPr>
            <w:tcW w:w="4441" w:type="dxa"/>
            <w:gridSpan w:val="4"/>
            <w:vAlign w:val="center"/>
          </w:tcPr>
          <w:p>
            <w:pPr>
              <w:jc w:val="center"/>
              <w:rPr>
                <w:rFonts w:hint="eastAsia" w:ascii="仿宋_GB2312" w:eastAsia="仿宋_GB2312"/>
                <w:color w:val="808080"/>
                <w:szCs w:val="21"/>
                <w:lang w:eastAsia="zh-CN"/>
              </w:rPr>
            </w:pPr>
            <w:r>
              <w:rPr>
                <w:rFonts w:hint="eastAsia" w:ascii="仿宋_GB2312" w:eastAsia="仿宋_GB2312"/>
                <w:color w:val="auto"/>
                <w:sz w:val="28"/>
                <w:szCs w:val="28"/>
                <w:lang w:eastAsia="zh-CN"/>
              </w:rPr>
              <w:t>一版</w:t>
            </w:r>
          </w:p>
        </w:tc>
        <w:tc>
          <w:tcPr>
            <w:tcW w:w="1094" w:type="dxa"/>
            <w:vAlign w:val="center"/>
          </w:tcPr>
          <w:p>
            <w:pPr>
              <w:jc w:val="center"/>
              <w:rPr>
                <w:rFonts w:ascii="仿宋_GB2312" w:eastAsia="仿宋_GB2312"/>
                <w:color w:val="808080"/>
                <w:szCs w:val="21"/>
              </w:rPr>
            </w:pPr>
            <w:r>
              <w:rPr>
                <w:rFonts w:hint="eastAsia" w:ascii="仿宋_GB2312" w:eastAsia="仿宋_GB2312"/>
                <w:color w:val="auto"/>
                <w:sz w:val="28"/>
                <w:szCs w:val="28"/>
              </w:rPr>
              <w:t>字数</w:t>
            </w:r>
          </w:p>
        </w:tc>
        <w:tc>
          <w:tcPr>
            <w:tcW w:w="2053" w:type="dxa"/>
            <w:vAlign w:val="center"/>
          </w:tcPr>
          <w:p>
            <w:pPr>
              <w:jc w:val="center"/>
              <w:rPr>
                <w:rFonts w:hint="eastAsia" w:ascii="仿宋_GB2312" w:eastAsia="仿宋_GB2312"/>
                <w:color w:val="808080"/>
                <w:szCs w:val="21"/>
                <w:lang w:val="en-US" w:eastAsia="zh-CN"/>
              </w:rPr>
            </w:pPr>
            <w:r>
              <w:rPr>
                <w:rFonts w:hint="eastAsia" w:ascii="仿宋_GB2312" w:eastAsia="仿宋_GB2312"/>
                <w:color w:val="auto"/>
                <w:szCs w:val="21"/>
                <w:lang w:val="en-US"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829" w:type="dxa"/>
            <w:gridSpan w:val="3"/>
            <w:vAlign w:val="center"/>
          </w:tcPr>
          <w:p>
            <w:pPr>
              <w:spacing w:line="380" w:lineRule="exact"/>
              <w:jc w:val="center"/>
              <w:rPr>
                <w:rFonts w:ascii="仿宋_GB2312" w:hAnsi="华文中宋" w:eastAsia="仿宋_GB2312"/>
                <w:sz w:val="24"/>
              </w:rPr>
            </w:pPr>
            <w:r>
              <w:rPr>
                <w:rFonts w:hint="eastAsia" w:ascii="仿宋_GB2312" w:hAnsi="华文中宋" w:eastAsia="仿宋_GB2312"/>
                <w:sz w:val="28"/>
                <w:szCs w:val="28"/>
              </w:rPr>
              <w:t>单</w:t>
            </w:r>
            <w:r>
              <w:rPr>
                <w:rFonts w:ascii="仿宋_GB2312" w:hAnsi="华文中宋" w:eastAsia="仿宋_GB2312"/>
                <w:sz w:val="28"/>
                <w:szCs w:val="28"/>
              </w:rPr>
              <w:t xml:space="preserve"> </w:t>
            </w:r>
            <w:r>
              <w:rPr>
                <w:rFonts w:hint="eastAsia" w:ascii="仿宋_GB2312" w:hAnsi="华文中宋" w:eastAsia="仿宋_GB2312"/>
                <w:sz w:val="28"/>
                <w:szCs w:val="28"/>
              </w:rPr>
              <w:t>位</w:t>
            </w:r>
          </w:p>
        </w:tc>
        <w:tc>
          <w:tcPr>
            <w:tcW w:w="7588" w:type="dxa"/>
            <w:gridSpan w:val="6"/>
            <w:vAlign w:val="center"/>
          </w:tcPr>
          <w:p>
            <w:pPr>
              <w:jc w:val="center"/>
              <w:rPr>
                <w:rFonts w:hint="eastAsia" w:ascii="仿宋_GB2312" w:eastAsia="仿宋_GB2312"/>
                <w:color w:val="808080"/>
                <w:szCs w:val="21"/>
                <w:lang w:eastAsia="zh-CN"/>
              </w:rPr>
            </w:pPr>
            <w:r>
              <w:rPr>
                <w:rFonts w:hint="eastAsia" w:ascii="仿宋_GB2312" w:eastAsia="仿宋_GB2312"/>
                <w:color w:val="auto"/>
                <w:sz w:val="32"/>
                <w:szCs w:val="32"/>
                <w:lang w:eastAsia="zh-CN"/>
              </w:rPr>
              <w:t>甘肃邮电报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8" w:hRule="exact"/>
          <w:jc w:val="center"/>
        </w:trPr>
        <w:tc>
          <w:tcPr>
            <w:tcW w:w="1199" w:type="dxa"/>
            <w:vAlign w:val="center"/>
          </w:tcPr>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r>
              <w:rPr>
                <w:rFonts w:hint="eastAsia" w:ascii="仿宋_GB2312" w:hAnsi="华文中宋" w:eastAsia="仿宋_GB2312"/>
                <w:sz w:val="28"/>
              </w:rPr>
              <w:t>推</w:t>
            </w:r>
          </w:p>
          <w:p>
            <w:pPr>
              <w:spacing w:line="380" w:lineRule="exact"/>
              <w:jc w:val="center"/>
              <w:rPr>
                <w:rFonts w:ascii="仿宋_GB2312" w:hAnsi="华文中宋" w:eastAsia="仿宋_GB2312"/>
                <w:sz w:val="28"/>
              </w:rPr>
            </w:pPr>
            <w:r>
              <w:rPr>
                <w:rFonts w:hint="eastAsia" w:ascii="仿宋_GB2312" w:hAnsi="华文中宋" w:eastAsia="仿宋_GB2312"/>
                <w:sz w:val="28"/>
              </w:rPr>
              <w:t>荐</w:t>
            </w:r>
          </w:p>
          <w:p>
            <w:pPr>
              <w:spacing w:line="380" w:lineRule="exact"/>
              <w:jc w:val="center"/>
              <w:rPr>
                <w:rFonts w:ascii="仿宋_GB2312" w:hAnsi="华文中宋" w:eastAsia="仿宋_GB2312"/>
                <w:sz w:val="28"/>
              </w:rPr>
            </w:pPr>
            <w:r>
              <w:rPr>
                <w:rFonts w:hint="eastAsia" w:ascii="仿宋_GB2312" w:hAnsi="华文中宋" w:eastAsia="仿宋_GB2312"/>
                <w:sz w:val="28"/>
              </w:rPr>
              <w:t>理</w:t>
            </w:r>
          </w:p>
          <w:p>
            <w:pPr>
              <w:spacing w:line="380" w:lineRule="exact"/>
              <w:jc w:val="center"/>
              <w:rPr>
                <w:rFonts w:ascii="仿宋_GB2312" w:hAnsi="华文中宋" w:eastAsia="仿宋_GB2312"/>
                <w:sz w:val="28"/>
              </w:rPr>
            </w:pPr>
            <w:r>
              <w:rPr>
                <w:rFonts w:hint="eastAsia" w:ascii="仿宋_GB2312" w:hAnsi="华文中宋" w:eastAsia="仿宋_GB2312"/>
                <w:sz w:val="28"/>
              </w:rPr>
              <w:t>由</w:t>
            </w:r>
          </w:p>
          <w:p>
            <w:pPr>
              <w:spacing w:line="320" w:lineRule="exact"/>
              <w:ind w:firstLine="560" w:firstLineChars="200"/>
              <w:jc w:val="center"/>
              <w:rPr>
                <w:rFonts w:ascii="仿宋_GB2312" w:eastAsia="仿宋_GB2312"/>
                <w:sz w:val="28"/>
                <w:szCs w:val="28"/>
              </w:rPr>
            </w:pPr>
          </w:p>
          <w:p>
            <w:pPr>
              <w:spacing w:line="320" w:lineRule="exact"/>
              <w:jc w:val="center"/>
              <w:rPr>
                <w:rFonts w:ascii="仿宋_GB2312" w:hAnsi="华文中宋" w:eastAsia="仿宋_GB2312"/>
                <w:sz w:val="28"/>
              </w:rPr>
            </w:pPr>
          </w:p>
          <w:p>
            <w:pPr>
              <w:tabs>
                <w:tab w:val="left" w:pos="2662"/>
              </w:tabs>
              <w:jc w:val="center"/>
              <w:rPr>
                <w:rFonts w:ascii="仿宋_GB2312" w:hAnsi="华文中宋"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tc>
        <w:tc>
          <w:tcPr>
            <w:tcW w:w="8218" w:type="dxa"/>
            <w:gridSpan w:val="8"/>
            <w:vAlign w:val="center"/>
          </w:tcPr>
          <w:p>
            <w:pPr>
              <w:ind w:firstLine="640" w:firstLineChars="200"/>
              <w:jc w:val="left"/>
              <w:rPr>
                <w:rFonts w:ascii="仿宋_GB2312" w:eastAsia="仿宋_GB2312"/>
                <w:sz w:val="28"/>
              </w:rPr>
            </w:pPr>
            <w:r>
              <w:rPr>
                <w:rFonts w:hint="eastAsia" w:ascii="楷体" w:hAnsi="楷体" w:eastAsia="楷体" w:cs="楷体"/>
                <w:sz w:val="32"/>
                <w:szCs w:val="32"/>
                <w:lang w:val="en-US" w:eastAsia="zh-CN"/>
              </w:rPr>
              <w:t>文章以时下时政热点—作风建设为切入点，以鲜明的观点，通过精彩精炼的语言和铿锵有力的措辞，提出要</w:t>
            </w:r>
            <w:r>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t>高举习近平新时代中国特色社会主义思想的伟大旗帜，转作风、提效能、强服务、促发展，贯彻党的群众路线，把出发点和落脚点归结到实现好、维护好、发展好职工群众的根本利益上来，以“尺寸之功”成“千秋大事”，推动高质量发展</w:t>
            </w:r>
            <w:r>
              <w:rPr>
                <w:rFonts w:hint="eastAsia" w:ascii="楷体" w:hAnsi="楷体" w:eastAsia="楷体" w:cs="楷体"/>
                <w:sz w:val="32"/>
                <w:szCs w:val="32"/>
                <w:lang w:val="en-US" w:eastAsia="zh-CN"/>
              </w:rPr>
              <w:t>。文章气势恢宏，极具感染力，起到了很好的鼓舞士气，激发创业动能的作用。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3" w:hRule="exact"/>
          <w:jc w:val="center"/>
        </w:trPr>
        <w:tc>
          <w:tcPr>
            <w:tcW w:w="9417" w:type="dxa"/>
            <w:gridSpan w:val="9"/>
          </w:tcPr>
          <w:p>
            <w:pPr>
              <w:tabs>
                <w:tab w:val="left" w:pos="6461"/>
              </w:tabs>
              <w:spacing w:line="420" w:lineRule="exact"/>
              <w:jc w:val="left"/>
              <w:rPr>
                <w:rFonts w:ascii="仿宋_GB2312" w:hAnsi="华文中宋" w:eastAsia="仿宋_GB2312"/>
                <w:spacing w:val="-2"/>
                <w:sz w:val="28"/>
              </w:rPr>
            </w:pPr>
            <w:r>
              <w:rPr>
                <w:rFonts w:ascii="仿宋_GB2312" w:hAnsi="华文中宋" w:eastAsia="仿宋_GB2312"/>
                <w:spacing w:val="-2"/>
                <w:sz w:val="28"/>
              </w:rPr>
              <w:tab/>
            </w: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z w:val="28"/>
              </w:rPr>
            </w:pPr>
            <w:r>
              <w:rPr>
                <w:rFonts w:hint="eastAsia" w:ascii="仿宋_GB2312" w:hAnsi="华文中宋" w:eastAsia="仿宋_GB2312"/>
                <w:spacing w:val="-2"/>
                <w:sz w:val="28"/>
              </w:rPr>
              <w:t>总编签名：</w:t>
            </w:r>
            <w:r>
              <w:rPr>
                <w:rFonts w:ascii="仿宋_GB2312" w:hAnsi="华文中宋" w:eastAsia="仿宋_GB2312"/>
                <w:spacing w:val="-2"/>
                <w:sz w:val="28"/>
              </w:rPr>
              <w:tab/>
            </w:r>
            <w:r>
              <w:rPr>
                <w:rFonts w:hint="eastAsia" w:ascii="仿宋_GB2312" w:hAnsi="华文中宋" w:eastAsia="仿宋_GB2312"/>
                <w:sz w:val="28"/>
              </w:rPr>
              <w:t>（盖单位公章）</w:t>
            </w:r>
          </w:p>
          <w:p>
            <w:pPr>
              <w:tabs>
                <w:tab w:val="left" w:pos="6746"/>
              </w:tabs>
              <w:spacing w:line="420" w:lineRule="exact"/>
              <w:ind w:firstLine="6440" w:firstLineChars="2300"/>
              <w:jc w:val="left"/>
              <w:rPr>
                <w:rFonts w:ascii="仿宋_GB2312" w:eastAsia="仿宋_GB2312"/>
                <w:sz w:val="28"/>
              </w:rPr>
            </w:pPr>
            <w:r>
              <w:rPr>
                <w:rFonts w:ascii="仿宋_GB2312" w:hAnsi="华文中宋" w:eastAsia="仿宋_GB2312"/>
                <w:sz w:val="28"/>
              </w:rPr>
              <w:t>2019</w:t>
            </w:r>
            <w:r>
              <w:rPr>
                <w:rFonts w:hint="eastAsia" w:ascii="仿宋_GB2312" w:hAnsi="华文中宋" w:eastAsia="仿宋_GB2312"/>
                <w:sz w:val="28"/>
              </w:rPr>
              <w:t>年</w:t>
            </w:r>
            <w:r>
              <w:rPr>
                <w:rFonts w:ascii="仿宋_GB2312" w:hAnsi="华文中宋" w:eastAsia="仿宋_GB2312"/>
                <w:sz w:val="28"/>
              </w:rPr>
              <w:t xml:space="preserve">  </w:t>
            </w:r>
            <w:r>
              <w:rPr>
                <w:rFonts w:hint="eastAsia" w:ascii="仿宋_GB2312" w:hAnsi="华文中宋" w:eastAsia="仿宋_GB2312"/>
                <w:sz w:val="28"/>
              </w:rPr>
              <w:t>月</w:t>
            </w:r>
            <w:r>
              <w:rPr>
                <w:rFonts w:ascii="仿宋_GB2312" w:hAnsi="华文中宋" w:eastAsia="仿宋_GB2312"/>
                <w:sz w:val="28"/>
              </w:rPr>
              <w:t xml:space="preserve">  </w:t>
            </w:r>
            <w:r>
              <w:rPr>
                <w:rFonts w:hint="eastAsia" w:ascii="仿宋_GB2312" w:hAnsi="华文中宋" w:eastAsia="仿宋_GB2312"/>
                <w:sz w:val="28"/>
              </w:rPr>
              <w:t>日</w:t>
            </w:r>
          </w:p>
          <w:p>
            <w:pPr>
              <w:spacing w:line="320" w:lineRule="exact"/>
              <w:jc w:val="left"/>
              <w:rPr>
                <w:rFonts w:ascii="仿宋_GB2312" w:eastAsia="仿宋_GB2312"/>
                <w:color w:val="808080"/>
                <w:szCs w:val="21"/>
              </w:rPr>
            </w:pPr>
          </w:p>
          <w:p>
            <w:pPr>
              <w:spacing w:line="420" w:lineRule="exact"/>
              <w:ind w:firstLine="2240" w:firstLineChars="800"/>
              <w:rPr>
                <w:rFonts w:ascii="仿宋_GB2312" w:hAnsi="华文中宋" w:eastAsia="仿宋_GB2312"/>
                <w:sz w:val="28"/>
              </w:rPr>
            </w:pPr>
          </w:p>
          <w:p>
            <w:pPr>
              <w:spacing w:line="420" w:lineRule="exact"/>
              <w:ind w:firstLine="2100" w:firstLineChars="750"/>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pacing w:val="-12"/>
                <w:sz w:val="28"/>
                <w:szCs w:val="28"/>
              </w:rPr>
            </w:pPr>
            <w:r>
              <w:rPr>
                <w:rFonts w:hint="eastAsia" w:ascii="仿宋_GB2312" w:hAnsi="华文中宋" w:eastAsia="仿宋_GB2312"/>
                <w:spacing w:val="-12"/>
                <w:sz w:val="28"/>
                <w:szCs w:val="28"/>
              </w:rPr>
              <w:t>联系人</w:t>
            </w:r>
          </w:p>
        </w:tc>
        <w:tc>
          <w:tcPr>
            <w:tcW w:w="1843" w:type="dxa"/>
            <w:gridSpan w:val="2"/>
            <w:tcBorders>
              <w:top w:val="single" w:color="auto" w:sz="4" w:space="0"/>
              <w:left w:val="single" w:color="auto" w:sz="4" w:space="0"/>
              <w:bottom w:val="single" w:color="auto" w:sz="4" w:space="0"/>
              <w:right w:val="single" w:color="auto" w:sz="4" w:space="0"/>
            </w:tcBorders>
          </w:tcPr>
          <w:p>
            <w:pPr>
              <w:spacing w:line="500" w:lineRule="exact"/>
              <w:rPr>
                <w:rFonts w:hint="eastAsia" w:ascii="仿宋_GB2312" w:hAnsi="华文中宋" w:eastAsia="仿宋_GB2312"/>
                <w:sz w:val="28"/>
                <w:lang w:eastAsia="zh-CN"/>
              </w:rPr>
            </w:pPr>
            <w:r>
              <w:rPr>
                <w:rFonts w:hint="eastAsia" w:ascii="仿宋_GB2312" w:hAnsi="华文中宋" w:eastAsia="仿宋_GB2312"/>
                <w:sz w:val="28"/>
                <w:lang w:eastAsia="zh-CN"/>
              </w:rPr>
              <w:t>王瑞云</w:t>
            </w:r>
          </w:p>
        </w:tc>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hAnsi="华文中宋" w:eastAsia="仿宋_GB2312"/>
                <w:sz w:val="28"/>
              </w:rPr>
            </w:pPr>
            <w:r>
              <w:rPr>
                <w:rFonts w:hint="eastAsia" w:ascii="仿宋_GB2312" w:hAnsi="华文中宋" w:eastAsia="仿宋_GB2312"/>
                <w:sz w:val="28"/>
              </w:rPr>
              <w:t>手机号码</w:t>
            </w:r>
          </w:p>
        </w:tc>
        <w:tc>
          <w:tcPr>
            <w:tcW w:w="4633" w:type="dxa"/>
            <w:gridSpan w:val="3"/>
            <w:tcBorders>
              <w:top w:val="single" w:color="auto" w:sz="4" w:space="0"/>
              <w:left w:val="single" w:color="auto" w:sz="4" w:space="0"/>
              <w:bottom w:val="single" w:color="auto" w:sz="4" w:space="0"/>
            </w:tcBorders>
          </w:tcPr>
          <w:p>
            <w:pPr>
              <w:spacing w:line="500" w:lineRule="exact"/>
              <w:rPr>
                <w:rFonts w:hint="eastAsia" w:ascii="仿宋_GB2312" w:hAnsi="华文中宋" w:eastAsia="仿宋_GB2312"/>
                <w:sz w:val="28"/>
                <w:lang w:val="en-US" w:eastAsia="zh-CN"/>
              </w:rPr>
            </w:pPr>
            <w:r>
              <w:rPr>
                <w:rFonts w:hint="eastAsia" w:ascii="仿宋_GB2312" w:hAnsi="华文中宋" w:eastAsia="仿宋_GB2312"/>
                <w:sz w:val="28"/>
                <w:lang w:val="en-US" w:eastAsia="zh-CN"/>
              </w:rPr>
              <w:t>13993116669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电子邮箱</w:t>
            </w:r>
          </w:p>
        </w:tc>
        <w:tc>
          <w:tcPr>
            <w:tcW w:w="7967" w:type="dxa"/>
            <w:gridSpan w:val="7"/>
            <w:tcBorders>
              <w:top w:val="single" w:color="auto" w:sz="4" w:space="0"/>
              <w:left w:val="single" w:color="auto" w:sz="4" w:space="0"/>
              <w:bottom w:val="single" w:color="auto" w:sz="4" w:space="0"/>
            </w:tcBorders>
          </w:tcPr>
          <w:p>
            <w:pPr>
              <w:spacing w:line="500" w:lineRule="exact"/>
              <w:rPr>
                <w:rFonts w:hint="eastAsia" w:ascii="仿宋_GB2312" w:hAnsi="华文中宋" w:eastAsia="仿宋_GB2312"/>
                <w:sz w:val="28"/>
                <w:lang w:val="en-US" w:eastAsia="zh-CN"/>
              </w:rPr>
            </w:pPr>
            <w:r>
              <w:rPr>
                <w:rFonts w:hint="eastAsia" w:ascii="仿宋_GB2312" w:hAnsi="华文中宋" w:eastAsia="仿宋_GB2312"/>
                <w:sz w:val="28"/>
                <w:lang w:val="en-US" w:eastAsia="zh-CN"/>
              </w:rPr>
              <w:t>526678954@qq.com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地</w:t>
            </w:r>
            <w:r>
              <w:rPr>
                <w:rFonts w:ascii="仿宋_GB2312" w:hAnsi="华文中宋" w:eastAsia="仿宋_GB2312"/>
                <w:sz w:val="28"/>
              </w:rPr>
              <w:t xml:space="preserve"> </w:t>
            </w:r>
            <w:r>
              <w:rPr>
                <w:rFonts w:hint="eastAsia" w:ascii="仿宋_GB2312" w:hAnsi="华文中宋" w:eastAsia="仿宋_GB2312"/>
                <w:sz w:val="28"/>
              </w:rPr>
              <w:t>址</w:t>
            </w:r>
          </w:p>
        </w:tc>
        <w:tc>
          <w:tcPr>
            <w:tcW w:w="7967" w:type="dxa"/>
            <w:gridSpan w:val="7"/>
            <w:tcBorders>
              <w:top w:val="single" w:color="auto" w:sz="4" w:space="0"/>
              <w:left w:val="single" w:color="auto" w:sz="4" w:space="0"/>
              <w:bottom w:val="single" w:color="auto" w:sz="4" w:space="0"/>
            </w:tcBorders>
          </w:tcPr>
          <w:p>
            <w:pPr>
              <w:spacing w:line="500" w:lineRule="exact"/>
              <w:rPr>
                <w:rFonts w:hint="eastAsia" w:ascii="仿宋_GB2312" w:hAnsi="华文中宋" w:eastAsia="仿宋_GB2312"/>
                <w:sz w:val="28"/>
                <w:lang w:val="en-US" w:eastAsia="zh-CN"/>
              </w:rPr>
            </w:pPr>
            <w:r>
              <w:rPr>
                <w:rFonts w:hint="eastAsia" w:ascii="仿宋_GB2312" w:hAnsi="华文中宋" w:eastAsia="仿宋_GB2312"/>
                <w:sz w:val="28"/>
                <w:lang w:eastAsia="zh-CN"/>
              </w:rPr>
              <w:t>甘肃省兰州市城关区酒泉路</w:t>
            </w:r>
            <w:r>
              <w:rPr>
                <w:rFonts w:hint="eastAsia" w:ascii="仿宋_GB2312" w:hAnsi="华文中宋" w:eastAsia="仿宋_GB2312"/>
                <w:sz w:val="28"/>
                <w:lang w:val="en-US" w:eastAsia="zh-CN"/>
              </w:rPr>
              <w:t>2号</w:t>
            </w:r>
          </w:p>
        </w:tc>
      </w:tr>
    </w:tbl>
    <w:p>
      <w:pPr>
        <w:ind w:firstLine="3520" w:firstLineChars="1100"/>
        <w:rPr>
          <w:sz w:val="32"/>
          <w:szCs w:val="32"/>
        </w:rPr>
      </w:pPr>
    </w:p>
    <w:p>
      <w:pPr>
        <w:jc w:val="center"/>
        <w:rPr>
          <w:rFonts w:hint="eastAsia" w:ascii="方正小标宋简体" w:hAnsi="方正小标宋简体" w:eastAsia="方正小标宋简体" w:cs="方正小标宋简体"/>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32"/>
          <w:szCs w:val="32"/>
          <w:shd w:val="clear" w:fill="FFFFFF"/>
          <w:lang w:eastAsia="zh-CN"/>
          <w14:textFill>
            <w14:solidFill>
              <w14:schemeClr w14:val="tx1"/>
            </w14:solidFill>
          </w14:textFill>
        </w:rPr>
        <w:t>机关干部是作风建设的“关键少数”</w:t>
      </w:r>
    </w:p>
    <w:p>
      <w:pPr>
        <w:jc w:val="center"/>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t>汪慧丰</w:t>
      </w:r>
      <w:bookmarkStart w:id="0" w:name="_GoBack"/>
      <w:bookmarkEnd w:id="0"/>
    </w:p>
    <w:p>
      <w:pPr>
        <w:ind w:firstLine="640" w:firstLineChars="200"/>
        <w:jc w:val="both"/>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t>“有些机关干部对下面要求很严，对自己却随随便便，作风扭转必须先从机关开始。”近日，甘肃省邮政分公司开展了“机关作风建设年活动”，省分公司党组书记、总经理张帆一针见血地指出当前作风建设的关键就是机关干部。</w:t>
      </w:r>
    </w:p>
    <w:p>
      <w:pPr>
        <w:ind w:firstLine="643" w:firstLineChars="200"/>
        <w:jc w:val="both"/>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机关干部是企业发展的“主心骨”。</w:t>
      </w:r>
      <w:r>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t>扭转机关工作作风，牢牢抓住机关干部这个“关键少数”，就是牵住了作风建设的“牛鼻子”，拧紧了作风建设的“总阀门”，惟其如此，才能把“上行下效”这个贬义转化为“以上率下”这个褒义；惟其如此，才能把作风建设这个“硬骨头”转化为企业发展这个“新动能”；惟其如此，才能把服务提升这个“硬指标”落实为职工群众满意这个“新作为”。尤其是当前面对复杂的内外部经营发展环境，只有狠抓机关作风建设才能为企业健康发展营造良好的环境和氛围，只有狠抓机关作风建设，才能最大限度地获得职工群众的广泛支持。</w:t>
      </w:r>
    </w:p>
    <w:p>
      <w:pPr>
        <w:ind w:firstLine="643" w:firstLineChars="200"/>
        <w:jc w:val="both"/>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机关干部是企业发展的“领头雁”。</w:t>
      </w:r>
      <w:r>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t>对于邮政企业来说，机关干部虽然是少数，但是都处在关键岗位、核心位置，是顶层设计的制定者和推动者，是企业发展的“领头雁”，他们的思维一定程度上反映着企业发展的主方向。这就客观上要求机关干部工作作风必须过硬、过实，只有过硬、过实的工作作风才能把党和国家的政策不折不扣地贯穿于企业的改革发展之中，贯穿于各项政策的制定和落实之中，身体力行，以上率下，一级做给一级看、一级带着一级干，当好“领头雁”“排头兵”和“指南针”的作用，为邮政事业的发展“校准航向、把稳舵盘”，以作风建设的新成效推动各项工作的新发展。</w:t>
      </w:r>
    </w:p>
    <w:p>
      <w:pPr>
        <w:ind w:firstLine="643" w:firstLineChars="200"/>
        <w:jc w:val="both"/>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机关干部是职工群众的“贴心人”。</w:t>
      </w:r>
      <w:r>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t>“干部就是服务，权利就是责任。”职工群众有诉求、有难处往往找机关干部反映情况，请教问题，解决难处，这是出于职工群众的信任感和心里认同感，是职工群众心中认为能获得帮助、能解决难题的“关键少数”。“打铁还需自身硬。”服务好职工群众的关键在于打造自身过硬的工作作风。只有不断加强自身修养，锤炼自身党性，把握履职之要、打牢正己之基，练就一身超强本领，时刻恪守为民情怀，敢担当、勇作为，坚决破除“等靠要”，强效能、优服务，坚决杜绝“庸懒散”，抓落实、重执行，学会接“地气”，添“土气”，主动把身段“放下来”，时刻把职工群众“请进来”，做到遇事不回避，办事不推诿，时时刻刻树立“机关服务基层，后台服务前台”的思想，久而久之，良好的习惯也会蔚然成风。</w:t>
      </w:r>
    </w:p>
    <w:p>
      <w:pPr>
        <w:ind w:firstLine="643" w:firstLineChars="200"/>
        <w:jc w:val="both"/>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机关干部是企业形象的“代言人”。</w:t>
      </w:r>
      <w:r>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t>习近平总书记指出：“我们抓作风建设，归根到底，就是希望各级干部都能树立和发扬好的作风，既严以修身、严以用权、严以律己，又谋事要实、创业要实、做人要实。”风清则气正，气正则心齐，心齐则事成。机关干部作风关系机关效能和机关形象，一定程度上代表了整个集体的面貌、集体的声音、集体的动作、集体的表情、集体的信念和集体的动力，机关干部的一举一动关系人心向背，关系事业的兴旺繁荣。因此，作为“关键少数”的机关干部，要时刻保持警醒意识，“勿以恶小而为之，勿以善小而不为”，坚持从小事细节上加强修养，从一点一滴中完善自己，只有作风“硬气”，发展才会有“底气”，只有作风“接地气”才能为发展“聚人气”。</w:t>
      </w:r>
    </w:p>
    <w:p>
      <w:pPr>
        <w:ind w:firstLine="640" w:firstLineChars="200"/>
        <w:jc w:val="both"/>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shd w:val="clear" w:fill="FFFFFF"/>
          <w:lang w:eastAsia="zh-CN"/>
          <w14:textFill>
            <w14:solidFill>
              <w14:schemeClr w14:val="tx1"/>
            </w14:solidFill>
          </w14:textFill>
        </w:rPr>
        <w:t>逆水行舟，一篙不可放缓;滴水穿石，一滴不可弃滞。“作风建设永远在路上。”新的时代、新的征程，让我们高举习近平新时代中国特色社会主义思想的伟大旗帜，转作风、提效能、强服务、促发展，贯彻党的群众路线，把出发点和落脚点归结到实现好、维护好、发展好职工群众的根本利益上来，以“尺寸之功”成“千秋大事”，为甘肃邮政高质量发展注入新动能。</w:t>
      </w:r>
    </w:p>
    <w:p>
      <w:pPr>
        <w:jc w:val="both"/>
        <w:rPr>
          <w:rFonts w:hint="eastAsia" w:ascii="微软雅黑" w:hAnsi="微软雅黑" w:eastAsia="微软雅黑" w:cs="微软雅黑"/>
          <w:b w:val="0"/>
          <w:bCs w:val="0"/>
          <w:i w:val="0"/>
          <w:caps w:val="0"/>
          <w:color w:val="000000" w:themeColor="text1"/>
          <w:spacing w:val="0"/>
          <w:sz w:val="22"/>
          <w:szCs w:val="22"/>
          <w:shd w:val="clear" w:fill="FFFFFF"/>
          <w:lang w:eastAsia="zh-CN"/>
          <w14:textFill>
            <w14:solidFill>
              <w14:schemeClr w14:val="tx1"/>
            </w14:solidFill>
          </w14:textFill>
        </w:rPr>
      </w:pPr>
    </w:p>
    <w:p>
      <w:pPr>
        <w:ind w:firstLine="3520" w:firstLineChars="11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1F"/>
    <w:rsid w:val="002E5F85"/>
    <w:rsid w:val="003D54FE"/>
    <w:rsid w:val="00BD6D1F"/>
    <w:rsid w:val="00DF408A"/>
    <w:rsid w:val="00F073FA"/>
    <w:rsid w:val="09894BC1"/>
    <w:rsid w:val="0B282C5E"/>
    <w:rsid w:val="112F5AC1"/>
    <w:rsid w:val="1CBF5438"/>
    <w:rsid w:val="20296E78"/>
    <w:rsid w:val="24DB13A9"/>
    <w:rsid w:val="272A0A70"/>
    <w:rsid w:val="2928739C"/>
    <w:rsid w:val="2A111936"/>
    <w:rsid w:val="2B325F1E"/>
    <w:rsid w:val="34594070"/>
    <w:rsid w:val="37031A51"/>
    <w:rsid w:val="3E020A6D"/>
    <w:rsid w:val="3E5C2D22"/>
    <w:rsid w:val="406A2160"/>
    <w:rsid w:val="420D2B91"/>
    <w:rsid w:val="498D7796"/>
    <w:rsid w:val="508A09C0"/>
    <w:rsid w:val="552541E3"/>
    <w:rsid w:val="5E0F2C34"/>
    <w:rsid w:val="614876AA"/>
    <w:rsid w:val="61842F2E"/>
    <w:rsid w:val="62BA3ADA"/>
    <w:rsid w:val="6C393796"/>
    <w:rsid w:val="6E666DBD"/>
    <w:rsid w:val="7ED27C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117</Words>
  <Characters>673</Characters>
  <Lines>0</Lines>
  <Paragraphs>0</Paragraphs>
  <TotalTime>49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无独有偶</cp:lastModifiedBy>
  <cp:lastPrinted>2018-03-12T08:41:00Z</cp:lastPrinted>
  <dcterms:modified xsi:type="dcterms:W3CDTF">2019-04-18T09:42:12Z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