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 w:rsidP="000B4FC2">
      <w:pPr>
        <w:ind w:firstLineChars="150" w:firstLine="54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F52F3F" w:rsidRPr="00F52F3F" w:rsidRDefault="00F52F3F" w:rsidP="00F52F3F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F52F3F">
              <w:rPr>
                <w:rFonts w:ascii="仿宋_GB2312" w:eastAsia="仿宋_GB2312" w:hAnsi="华文中宋" w:hint="eastAsia"/>
                <w:sz w:val="28"/>
              </w:rPr>
              <w:t>硫磺沟矿：</w:t>
            </w:r>
          </w:p>
          <w:p w:rsidR="00DF408A" w:rsidRPr="00F073FA" w:rsidRDefault="00F52F3F" w:rsidP="00F52F3F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F52F3F">
              <w:rPr>
                <w:rFonts w:ascii="仿宋_GB2312" w:eastAsia="仿宋_GB2312" w:hAnsi="华文中宋" w:hint="eastAsia"/>
                <w:sz w:val="28"/>
              </w:rPr>
              <w:t>“结亲周”结出民族团结好景象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C2669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消息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F52F3F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  <w:sz w:val="24"/>
              </w:rPr>
              <w:t>张献彬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李超群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F52F3F" w:rsidP="00FE6A65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2018.3</w:t>
            </w:r>
            <w:r w:rsidR="00C26695"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sz w:val="28"/>
              </w:rPr>
              <w:t>23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C26695" w:rsidP="00F52F3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兖矿新闻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>报</w:t>
            </w:r>
            <w:r w:rsidR="00F52F3F">
              <w:rPr>
                <w:rFonts w:ascii="仿宋_GB2312" w:eastAsia="仿宋_GB2312" w:hAnsi="华文中宋" w:hint="eastAsia"/>
                <w:sz w:val="28"/>
              </w:rPr>
              <w:t>一</w:t>
            </w:r>
            <w:r>
              <w:rPr>
                <w:rFonts w:ascii="仿宋_GB2312" w:eastAsia="仿宋_GB2312" w:hAnsi="华文中宋" w:hint="eastAsia"/>
                <w:sz w:val="28"/>
              </w:rPr>
              <w:t>版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C26695" w:rsidP="00F52F3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8</w:t>
            </w:r>
            <w:r w:rsidR="00F52F3F">
              <w:rPr>
                <w:rFonts w:ascii="仿宋_GB2312" w:eastAsia="仿宋_GB2312" w:hAnsi="华文中宋" w:hint="eastAsia"/>
                <w:sz w:val="28"/>
              </w:rPr>
              <w:t>12</w:t>
            </w:r>
            <w:r>
              <w:rPr>
                <w:rFonts w:ascii="仿宋_GB2312" w:eastAsia="仿宋_GB2312" w:hAnsi="华文中宋" w:hint="eastAsia"/>
                <w:sz w:val="28"/>
              </w:rPr>
              <w:t>字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C2669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兖矿新闻</w:t>
            </w:r>
            <w:proofErr w:type="gramEnd"/>
            <w:r>
              <w:rPr>
                <w:rFonts w:ascii="仿宋_GB2312" w:eastAsia="仿宋_GB2312" w:hAnsi="华文中宋" w:hint="eastAsia"/>
                <w:sz w:val="28"/>
              </w:rPr>
              <w:t>报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FE6A6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F073FA" w:rsidRDefault="00CA021B" w:rsidP="0087413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稿件报道了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兖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矿集团新疆能化公司硫磺沟矿干部职工与少数民族职工家庭“结亲戚”、促进企业和谐发展的新闻事实。主题鲜明，选材新颖，文笔精炼。为驻外企业和谐发展提供了有益借鉴。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C2669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同意申报</w:t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="00C26695">
              <w:rPr>
                <w:rFonts w:ascii="仿宋_GB2312" w:eastAsia="仿宋_GB2312" w:hAnsi="华文中宋" w:hint="eastAsia"/>
                <w:spacing w:val="-2"/>
                <w:sz w:val="28"/>
              </w:rPr>
              <w:t>陈伟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FE6A6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C26695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C26695">
              <w:rPr>
                <w:rFonts w:ascii="仿宋_GB2312" w:eastAsia="仿宋_GB2312" w:hAnsi="华文中宋" w:hint="eastAsia"/>
                <w:sz w:val="28"/>
              </w:rPr>
              <w:t>18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FE6A6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FE6A6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C2669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陈伟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C2669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13053749738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45" w:rsidRDefault="00D90E45" w:rsidP="00FE6A65">
      <w:r>
        <w:separator/>
      </w:r>
    </w:p>
  </w:endnote>
  <w:endnote w:type="continuationSeparator" w:id="0">
    <w:p w:rsidR="00D90E45" w:rsidRDefault="00D90E45" w:rsidP="00FE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45" w:rsidRDefault="00D90E45" w:rsidP="00FE6A65">
      <w:r>
        <w:separator/>
      </w:r>
    </w:p>
  </w:footnote>
  <w:footnote w:type="continuationSeparator" w:id="0">
    <w:p w:rsidR="00D90E45" w:rsidRDefault="00D90E45" w:rsidP="00FE6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B4FC2"/>
    <w:rsid w:val="001234D7"/>
    <w:rsid w:val="00232343"/>
    <w:rsid w:val="002E5F85"/>
    <w:rsid w:val="003D54FE"/>
    <w:rsid w:val="005029A7"/>
    <w:rsid w:val="006C55D7"/>
    <w:rsid w:val="0071308F"/>
    <w:rsid w:val="007153E6"/>
    <w:rsid w:val="00874135"/>
    <w:rsid w:val="009C0A7C"/>
    <w:rsid w:val="00A116D7"/>
    <w:rsid w:val="00BD6D1F"/>
    <w:rsid w:val="00C26695"/>
    <w:rsid w:val="00CA021B"/>
    <w:rsid w:val="00D75FBC"/>
    <w:rsid w:val="00D90E45"/>
    <w:rsid w:val="00DF408A"/>
    <w:rsid w:val="00F073FA"/>
    <w:rsid w:val="00F52F3F"/>
    <w:rsid w:val="00FE6A65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2018-03-12T08:41:00Z</cp:lastPrinted>
  <dcterms:created xsi:type="dcterms:W3CDTF">2014-10-29T12:08:00Z</dcterms:created>
  <dcterms:modified xsi:type="dcterms:W3CDTF">2019-04-17T23:53:00Z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